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FFE7EA" w14:textId="4E690478" w:rsidR="00502E2E" w:rsidRPr="00502E2E" w:rsidRDefault="00502E2E" w:rsidP="00502E2E">
      <w:pPr>
        <w:spacing w:after="160" w:line="259" w:lineRule="auto"/>
        <w:jc w:val="center"/>
        <w:rPr>
          <w:rFonts w:ascii="Times New Roman" w:eastAsia="Calibri" w:hAnsi="Times New Roman" w:cs="Times New Roman"/>
          <w:b/>
        </w:rPr>
      </w:pPr>
      <w:r w:rsidRPr="00502E2E">
        <w:rPr>
          <w:rFonts w:ascii="Times New Roman" w:eastAsia="Calibri" w:hAnsi="Times New Roman" w:cs="Times New Roman"/>
          <w:b/>
        </w:rPr>
        <w:t xml:space="preserve">PROJECT NO. </w:t>
      </w:r>
      <w:r w:rsidR="00D817A7">
        <w:rPr>
          <w:rFonts w:ascii="Times New Roman" w:eastAsia="Calibri" w:hAnsi="Times New Roman" w:cs="Times New Roman"/>
          <w:b/>
        </w:rPr>
        <w:t>53401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5"/>
        <w:gridCol w:w="360"/>
        <w:gridCol w:w="4495"/>
      </w:tblGrid>
      <w:tr w:rsidR="00502E2E" w:rsidRPr="00502E2E" w14:paraId="5B91480E" w14:textId="77777777" w:rsidTr="00BA2073">
        <w:tc>
          <w:tcPr>
            <w:tcW w:w="4495" w:type="dxa"/>
          </w:tcPr>
          <w:p w14:paraId="5270E3DC" w14:textId="288DA529" w:rsidR="00502E2E" w:rsidRPr="00502E2E" w:rsidRDefault="00D817A7" w:rsidP="005A04D1">
            <w:pPr>
              <w:jc w:val="center"/>
              <w:rPr>
                <w:rFonts w:ascii="Times New Roman" w:eastAsia="Calibri" w:hAnsi="Times New Roman"/>
                <w:b/>
                <w:sz w:val="24"/>
                <w:szCs w:val="24"/>
              </w:rPr>
            </w:pPr>
            <w:r>
              <w:rPr>
                <w:rFonts w:ascii="Times New Roman" w:eastAsia="Calibri" w:hAnsi="Times New Roman"/>
                <w:b/>
                <w:sz w:val="24"/>
                <w:szCs w:val="24"/>
              </w:rPr>
              <w:t xml:space="preserve">ELECTRIC WEATHER PREPAREDNESS STANDARDS – PHASE II </w:t>
            </w:r>
          </w:p>
        </w:tc>
        <w:tc>
          <w:tcPr>
            <w:tcW w:w="360" w:type="dxa"/>
          </w:tcPr>
          <w:p w14:paraId="4FE25666" w14:textId="2E4D87F2" w:rsidR="00502E2E" w:rsidRDefault="00502E2E" w:rsidP="00BA2073">
            <w:pPr>
              <w:jc w:val="center"/>
              <w:rPr>
                <w:rFonts w:ascii="Times New Roman" w:eastAsia="Calibri" w:hAnsi="Times New Roman"/>
                <w:b/>
                <w:sz w:val="24"/>
                <w:szCs w:val="24"/>
              </w:rPr>
            </w:pPr>
            <w:r w:rsidRPr="00502E2E">
              <w:rPr>
                <w:rFonts w:ascii="Times New Roman" w:eastAsia="Calibri" w:hAnsi="Times New Roman"/>
                <w:b/>
                <w:sz w:val="24"/>
                <w:szCs w:val="24"/>
              </w:rPr>
              <w:t>§</w:t>
            </w:r>
          </w:p>
          <w:p w14:paraId="6F652035" w14:textId="62505332" w:rsidR="0031357D" w:rsidRPr="00502E2E" w:rsidRDefault="0031357D" w:rsidP="0031357D">
            <w:pPr>
              <w:jc w:val="center"/>
              <w:rPr>
                <w:rFonts w:ascii="Times New Roman" w:eastAsia="Calibri" w:hAnsi="Times New Roman"/>
                <w:b/>
                <w:sz w:val="24"/>
                <w:szCs w:val="24"/>
              </w:rPr>
            </w:pPr>
            <w:r w:rsidRPr="00502E2E">
              <w:rPr>
                <w:rFonts w:ascii="Times New Roman" w:eastAsia="Calibri" w:hAnsi="Times New Roman"/>
                <w:b/>
                <w:sz w:val="24"/>
                <w:szCs w:val="24"/>
              </w:rPr>
              <w:t>§</w:t>
            </w:r>
          </w:p>
          <w:p w14:paraId="39195AFA" w14:textId="77777777" w:rsidR="00502E2E" w:rsidRPr="00502E2E" w:rsidRDefault="00502E2E" w:rsidP="00BA2073">
            <w:pPr>
              <w:jc w:val="center"/>
              <w:rPr>
                <w:rFonts w:ascii="Times New Roman" w:eastAsia="Calibri" w:hAnsi="Times New Roman"/>
                <w:b/>
                <w:sz w:val="24"/>
                <w:szCs w:val="24"/>
              </w:rPr>
            </w:pPr>
            <w:r w:rsidRPr="00502E2E">
              <w:rPr>
                <w:rFonts w:ascii="Times New Roman" w:eastAsia="Calibri" w:hAnsi="Times New Roman"/>
                <w:b/>
                <w:sz w:val="24"/>
                <w:szCs w:val="24"/>
              </w:rPr>
              <w:t>§</w:t>
            </w:r>
          </w:p>
        </w:tc>
        <w:tc>
          <w:tcPr>
            <w:tcW w:w="4495" w:type="dxa"/>
          </w:tcPr>
          <w:p w14:paraId="1CC3ED15" w14:textId="77777777" w:rsidR="00502E2E" w:rsidRPr="00502E2E" w:rsidRDefault="00502E2E" w:rsidP="00BA2073">
            <w:pPr>
              <w:jc w:val="center"/>
              <w:rPr>
                <w:rFonts w:ascii="Times New Roman" w:eastAsia="Calibri" w:hAnsi="Times New Roman"/>
                <w:b/>
                <w:sz w:val="24"/>
                <w:szCs w:val="24"/>
              </w:rPr>
            </w:pPr>
            <w:r w:rsidRPr="00502E2E">
              <w:rPr>
                <w:rFonts w:ascii="Times New Roman" w:eastAsia="Calibri" w:hAnsi="Times New Roman"/>
                <w:b/>
                <w:sz w:val="24"/>
                <w:szCs w:val="24"/>
              </w:rPr>
              <w:t>PUBLIC UTILITY COMMISSION</w:t>
            </w:r>
          </w:p>
          <w:p w14:paraId="236B0450" w14:textId="77777777" w:rsidR="00502E2E" w:rsidRPr="00502E2E" w:rsidRDefault="00502E2E" w:rsidP="00BA2073">
            <w:pPr>
              <w:jc w:val="center"/>
              <w:rPr>
                <w:rFonts w:ascii="Times New Roman" w:eastAsia="Calibri" w:hAnsi="Times New Roman"/>
                <w:b/>
                <w:sz w:val="24"/>
                <w:szCs w:val="24"/>
              </w:rPr>
            </w:pPr>
            <w:r w:rsidRPr="00502E2E">
              <w:rPr>
                <w:rFonts w:ascii="Times New Roman" w:eastAsia="Calibri" w:hAnsi="Times New Roman"/>
                <w:b/>
                <w:sz w:val="24"/>
                <w:szCs w:val="24"/>
              </w:rPr>
              <w:t>OF TEXAS</w:t>
            </w:r>
          </w:p>
        </w:tc>
      </w:tr>
    </w:tbl>
    <w:p w14:paraId="6F861680" w14:textId="77777777" w:rsidR="00502E2E" w:rsidRPr="00502E2E" w:rsidRDefault="00502E2E" w:rsidP="00502E2E">
      <w:pPr>
        <w:tabs>
          <w:tab w:val="left" w:pos="7920"/>
        </w:tabs>
        <w:spacing w:line="259" w:lineRule="auto"/>
        <w:jc w:val="center"/>
        <w:rPr>
          <w:rFonts w:ascii="Times New Roman" w:eastAsia="Calibri" w:hAnsi="Times New Roman" w:cs="Times New Roman"/>
          <w:b/>
        </w:rPr>
      </w:pPr>
    </w:p>
    <w:p w14:paraId="061A2F67" w14:textId="77777777" w:rsidR="00502E2E" w:rsidRPr="00502E2E" w:rsidRDefault="00502E2E" w:rsidP="00502E2E">
      <w:pPr>
        <w:tabs>
          <w:tab w:val="left" w:pos="7920"/>
        </w:tabs>
        <w:spacing w:line="259" w:lineRule="auto"/>
        <w:jc w:val="center"/>
        <w:rPr>
          <w:rFonts w:ascii="Times New Roman" w:eastAsia="Calibri" w:hAnsi="Times New Roman" w:cs="Times New Roman"/>
          <w:b/>
        </w:rPr>
      </w:pPr>
      <w:r w:rsidRPr="00502E2E">
        <w:rPr>
          <w:rFonts w:ascii="Times New Roman" w:eastAsia="Calibri" w:hAnsi="Times New Roman" w:cs="Times New Roman"/>
          <w:b/>
        </w:rPr>
        <w:t xml:space="preserve">COMMENTS OF </w:t>
      </w:r>
    </w:p>
    <w:p w14:paraId="3599427C" w14:textId="77777777" w:rsidR="00502E2E" w:rsidRPr="00502E2E" w:rsidRDefault="00502E2E" w:rsidP="00502E2E">
      <w:pPr>
        <w:tabs>
          <w:tab w:val="left" w:pos="7920"/>
        </w:tabs>
        <w:spacing w:line="259" w:lineRule="auto"/>
        <w:jc w:val="center"/>
        <w:rPr>
          <w:rFonts w:ascii="Times New Roman" w:eastAsia="Calibri" w:hAnsi="Times New Roman" w:cs="Times New Roman"/>
          <w:b/>
        </w:rPr>
      </w:pPr>
      <w:r w:rsidRPr="00502E2E">
        <w:rPr>
          <w:rFonts w:ascii="Times New Roman" w:eastAsia="Calibri" w:hAnsi="Times New Roman" w:cs="Times New Roman"/>
          <w:b/>
        </w:rPr>
        <w:t xml:space="preserve">ENVIRONMENTAL DEFENSE FUND, TEXAS CONSUMER ASSOCIATION </w:t>
      </w:r>
    </w:p>
    <w:p w14:paraId="53984E23" w14:textId="77777777" w:rsidR="00502E2E" w:rsidRPr="00502E2E" w:rsidRDefault="00502E2E" w:rsidP="00502E2E">
      <w:pPr>
        <w:tabs>
          <w:tab w:val="left" w:pos="7920"/>
        </w:tabs>
        <w:spacing w:line="259" w:lineRule="auto"/>
        <w:jc w:val="center"/>
        <w:rPr>
          <w:rFonts w:ascii="Times New Roman" w:eastAsia="Calibri" w:hAnsi="Times New Roman" w:cs="Times New Roman"/>
          <w:b/>
        </w:rPr>
      </w:pPr>
      <w:r w:rsidRPr="00502E2E">
        <w:rPr>
          <w:rFonts w:ascii="Times New Roman" w:eastAsia="Calibri" w:hAnsi="Times New Roman" w:cs="Times New Roman"/>
          <w:b/>
        </w:rPr>
        <w:t>&amp; ALISON SILVERSTEIN CONSULTING</w:t>
      </w:r>
    </w:p>
    <w:p w14:paraId="14FA6C4F" w14:textId="77777777" w:rsidR="00502E2E" w:rsidRPr="00502E2E" w:rsidRDefault="00502E2E" w:rsidP="00502E2E">
      <w:pPr>
        <w:jc w:val="center"/>
        <w:rPr>
          <w:rFonts w:ascii="Times New Roman" w:eastAsia="Calibri" w:hAnsi="Times New Roman" w:cs="Times New Roman"/>
        </w:rPr>
      </w:pPr>
    </w:p>
    <w:p w14:paraId="1A8162FD" w14:textId="77777777" w:rsidR="00FF3FD2" w:rsidRDefault="00FF3FD2">
      <w:pPr>
        <w:rPr>
          <w:rFonts w:ascii="Times New Roman" w:eastAsia="Calibri" w:hAnsi="Times New Roman" w:cs="Times New Roman"/>
        </w:rPr>
      </w:pPr>
    </w:p>
    <w:p w14:paraId="1DD1560C" w14:textId="77777777" w:rsidR="0097349F" w:rsidRDefault="00950B79" w:rsidP="003021DB">
      <w:pPr>
        <w:spacing w:line="480" w:lineRule="auto"/>
        <w:rPr>
          <w:rFonts w:ascii="Times New Roman" w:eastAsia="Calibri" w:hAnsi="Times New Roman" w:cs="Times New Roman"/>
        </w:rPr>
      </w:pPr>
      <w:r>
        <w:rPr>
          <w:rFonts w:ascii="Times New Roman" w:eastAsia="Calibri" w:hAnsi="Times New Roman" w:cs="Times New Roman"/>
        </w:rPr>
        <w:tab/>
      </w:r>
      <w:r w:rsidR="00502E2E" w:rsidRPr="00502E2E">
        <w:rPr>
          <w:rFonts w:ascii="Times New Roman" w:eastAsia="Calibri" w:hAnsi="Times New Roman" w:cs="Times New Roman"/>
        </w:rPr>
        <w:t xml:space="preserve">COMES NOW the Environmental Defense Fund, a non-profit, non-partisan, non-governmental environmental organization, the Texas Consumer Association, a non-profit advocate representing small business and individual Texas customers on pocketbook issues, and Alison Silverstein, an independent energy consultant, to offer these joint-filed Comments responding </w:t>
      </w:r>
      <w:r w:rsidR="00484E2F">
        <w:rPr>
          <w:rFonts w:ascii="Times New Roman" w:eastAsia="Calibri" w:hAnsi="Times New Roman" w:cs="Times New Roman"/>
        </w:rPr>
        <w:t>to the Commission’s request for comments in Project 5</w:t>
      </w:r>
      <w:r w:rsidR="0097349F">
        <w:rPr>
          <w:rFonts w:ascii="Times New Roman" w:eastAsia="Calibri" w:hAnsi="Times New Roman" w:cs="Times New Roman"/>
        </w:rPr>
        <w:t>3401</w:t>
      </w:r>
      <w:r w:rsidR="00484E2F">
        <w:rPr>
          <w:rFonts w:ascii="Times New Roman" w:eastAsia="Calibri" w:hAnsi="Times New Roman" w:cs="Times New Roman"/>
        </w:rPr>
        <w:t>.</w:t>
      </w:r>
    </w:p>
    <w:p w14:paraId="32BF1AB1" w14:textId="77777777" w:rsidR="0097349F" w:rsidRDefault="0097349F" w:rsidP="0097349F">
      <w:pPr>
        <w:spacing w:line="480" w:lineRule="auto"/>
        <w:rPr>
          <w:rFonts w:ascii="Times New Roman" w:eastAsia="Calibri" w:hAnsi="Times New Roman" w:cs="Times New Roman"/>
        </w:rPr>
      </w:pPr>
      <w:r>
        <w:rPr>
          <w:rFonts w:ascii="Times New Roman" w:eastAsia="Calibri" w:hAnsi="Times New Roman" w:cs="Times New Roman"/>
        </w:rPr>
        <w:tab/>
        <w:t xml:space="preserve">We find that the proposed rule will not adequately protect Texas grid reliability and resilience from extreme weather events because it: </w:t>
      </w:r>
    </w:p>
    <w:p w14:paraId="654D936F" w14:textId="77777777" w:rsidR="00E73F62" w:rsidRDefault="00E73F62" w:rsidP="00E73F62">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 xml:space="preserve">Does not </w:t>
      </w:r>
      <w:r w:rsidRPr="0097349F">
        <w:rPr>
          <w:rFonts w:ascii="Times New Roman" w:eastAsia="Calibri" w:hAnsi="Times New Roman" w:cs="Times New Roman"/>
        </w:rPr>
        <w:t xml:space="preserve">include reliability-impacting weather events such as </w:t>
      </w:r>
      <w:r>
        <w:rPr>
          <w:rFonts w:ascii="Times New Roman" w:eastAsia="Calibri" w:hAnsi="Times New Roman" w:cs="Times New Roman"/>
        </w:rPr>
        <w:t xml:space="preserve">floods, </w:t>
      </w:r>
      <w:r w:rsidRPr="0097349F">
        <w:rPr>
          <w:rFonts w:ascii="Times New Roman" w:eastAsia="Calibri" w:hAnsi="Times New Roman" w:cs="Times New Roman"/>
        </w:rPr>
        <w:t xml:space="preserve">tornadoes, hurricanes and </w:t>
      </w:r>
      <w:proofErr w:type="gramStart"/>
      <w:r w:rsidRPr="0097349F">
        <w:rPr>
          <w:rFonts w:ascii="Times New Roman" w:eastAsia="Calibri" w:hAnsi="Times New Roman" w:cs="Times New Roman"/>
        </w:rPr>
        <w:t>wildfires</w:t>
      </w:r>
      <w:r>
        <w:rPr>
          <w:rFonts w:ascii="Times New Roman" w:eastAsia="Calibri" w:hAnsi="Times New Roman" w:cs="Times New Roman"/>
        </w:rPr>
        <w:t>;</w:t>
      </w:r>
      <w:proofErr w:type="gramEnd"/>
    </w:p>
    <w:p w14:paraId="10EABEDE" w14:textId="77777777" w:rsidR="00E73F62" w:rsidRDefault="0097349F" w:rsidP="005C11D5">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 xml:space="preserve">Does not </w:t>
      </w:r>
      <w:r w:rsidRPr="0097349F">
        <w:rPr>
          <w:rFonts w:ascii="Times New Roman" w:eastAsia="Calibri" w:hAnsi="Times New Roman" w:cs="Times New Roman"/>
        </w:rPr>
        <w:t>recognize the ways that climate change is exacerbating extreme weather events</w:t>
      </w:r>
      <w:r w:rsidR="00E73F62">
        <w:rPr>
          <w:rFonts w:ascii="Times New Roman" w:eastAsia="Calibri" w:hAnsi="Times New Roman" w:cs="Times New Roman"/>
        </w:rPr>
        <w:t xml:space="preserve"> </w:t>
      </w:r>
      <w:r w:rsidR="00E73F62" w:rsidRPr="0097349F">
        <w:rPr>
          <w:rFonts w:ascii="Times New Roman" w:eastAsia="Calibri" w:hAnsi="Times New Roman" w:cs="Times New Roman"/>
        </w:rPr>
        <w:t>(particularly high temperatures)</w:t>
      </w:r>
      <w:r w:rsidR="00E73F62">
        <w:rPr>
          <w:rFonts w:ascii="Times New Roman" w:eastAsia="Calibri" w:hAnsi="Times New Roman" w:cs="Times New Roman"/>
        </w:rPr>
        <w:t xml:space="preserve"> today and in the </w:t>
      </w:r>
      <w:proofErr w:type="gramStart"/>
      <w:r w:rsidR="00E73F62">
        <w:rPr>
          <w:rFonts w:ascii="Times New Roman" w:eastAsia="Calibri" w:hAnsi="Times New Roman" w:cs="Times New Roman"/>
        </w:rPr>
        <w:t>future;</w:t>
      </w:r>
      <w:proofErr w:type="gramEnd"/>
      <w:r w:rsidRPr="0097349F">
        <w:rPr>
          <w:rFonts w:ascii="Times New Roman" w:eastAsia="Calibri" w:hAnsi="Times New Roman" w:cs="Times New Roman"/>
        </w:rPr>
        <w:t xml:space="preserve"> </w:t>
      </w:r>
    </w:p>
    <w:p w14:paraId="700CA71A" w14:textId="2B1D3847" w:rsidR="0097349F" w:rsidRPr="0097349F" w:rsidRDefault="0097349F" w:rsidP="0097349F">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 xml:space="preserve">Does not incorporate the climate </w:t>
      </w:r>
      <w:r w:rsidR="006725FC">
        <w:rPr>
          <w:rFonts w:ascii="Times New Roman" w:eastAsia="Calibri" w:hAnsi="Times New Roman" w:cs="Times New Roman"/>
        </w:rPr>
        <w:t xml:space="preserve">projection analysis already available from the Texas State </w:t>
      </w:r>
      <w:proofErr w:type="gramStart"/>
      <w:r w:rsidR="006725FC">
        <w:rPr>
          <w:rFonts w:ascii="Times New Roman" w:eastAsia="Calibri" w:hAnsi="Times New Roman" w:cs="Times New Roman"/>
        </w:rPr>
        <w:t>Climatologist</w:t>
      </w:r>
      <w:r w:rsidR="004A3573">
        <w:rPr>
          <w:rFonts w:ascii="Times New Roman" w:eastAsia="Calibri" w:hAnsi="Times New Roman" w:cs="Times New Roman"/>
        </w:rPr>
        <w:t>;</w:t>
      </w:r>
      <w:proofErr w:type="gramEnd"/>
    </w:p>
    <w:p w14:paraId="31C3E5B0" w14:textId="0EF93244" w:rsidR="003021DB" w:rsidRDefault="0097349F" w:rsidP="0097349F">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D</w:t>
      </w:r>
      <w:r w:rsidRPr="0097349F">
        <w:rPr>
          <w:rFonts w:ascii="Times New Roman" w:eastAsia="Calibri" w:hAnsi="Times New Roman" w:cs="Times New Roman"/>
        </w:rPr>
        <w:t xml:space="preserve">oes not include transmission lines </w:t>
      </w:r>
      <w:r w:rsidR="00A73635">
        <w:rPr>
          <w:rFonts w:ascii="Times New Roman" w:eastAsia="Calibri" w:hAnsi="Times New Roman" w:cs="Times New Roman"/>
        </w:rPr>
        <w:t>as</w:t>
      </w:r>
      <w:r w:rsidRPr="0097349F">
        <w:rPr>
          <w:rFonts w:ascii="Times New Roman" w:eastAsia="Calibri" w:hAnsi="Times New Roman" w:cs="Times New Roman"/>
        </w:rPr>
        <w:t xml:space="preserve"> facilities</w:t>
      </w:r>
      <w:r w:rsidR="00A73635">
        <w:rPr>
          <w:rFonts w:ascii="Times New Roman" w:eastAsia="Calibri" w:hAnsi="Times New Roman" w:cs="Times New Roman"/>
        </w:rPr>
        <w:t xml:space="preserve"> within the scope of the </w:t>
      </w:r>
      <w:proofErr w:type="gramStart"/>
      <w:r w:rsidR="00A73635">
        <w:rPr>
          <w:rFonts w:ascii="Times New Roman" w:eastAsia="Calibri" w:hAnsi="Times New Roman" w:cs="Times New Roman"/>
        </w:rPr>
        <w:t>rule</w:t>
      </w:r>
      <w:r w:rsidR="004A3573">
        <w:rPr>
          <w:rFonts w:ascii="Times New Roman" w:eastAsia="Calibri" w:hAnsi="Times New Roman" w:cs="Times New Roman"/>
        </w:rPr>
        <w:t>;</w:t>
      </w:r>
      <w:proofErr w:type="gramEnd"/>
    </w:p>
    <w:p w14:paraId="478665EF" w14:textId="332C5537" w:rsidR="0097349F" w:rsidRDefault="004A3573" w:rsidP="004A3573">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Neglects to raise extreme weather preparedness for black-start generation and transmission.</w:t>
      </w:r>
    </w:p>
    <w:p w14:paraId="46CDDB39" w14:textId="243077BF" w:rsidR="00AE0A27" w:rsidRDefault="00AE0A27" w:rsidP="00AE0A27">
      <w:pPr>
        <w:rPr>
          <w:rFonts w:ascii="Times New Roman" w:eastAsia="Calibri" w:hAnsi="Times New Roman" w:cs="Times New Roman"/>
        </w:rPr>
      </w:pPr>
    </w:p>
    <w:p w14:paraId="6C395AF7" w14:textId="5C4C50CE" w:rsidR="004A3573" w:rsidRPr="00E73F62" w:rsidRDefault="00AE0A27" w:rsidP="00E73F62">
      <w:pPr>
        <w:spacing w:line="480" w:lineRule="auto"/>
        <w:ind w:firstLine="432"/>
        <w:rPr>
          <w:rFonts w:ascii="Times New Roman" w:eastAsia="Calibri" w:hAnsi="Times New Roman" w:cs="Times New Roman"/>
        </w:rPr>
      </w:pPr>
      <w:r>
        <w:rPr>
          <w:rFonts w:ascii="Times New Roman" w:eastAsia="Calibri" w:hAnsi="Times New Roman" w:cs="Times New Roman"/>
        </w:rPr>
        <w:t>If these omissions and errors are not remedied in the weatherization rule, the rule could lead to additional transmission and generation investment costs that will increase electricity prices across Texas without sufficiently improving the reliability and resilience of our grid against the very real extreme weather risks we face.</w:t>
      </w:r>
    </w:p>
    <w:p w14:paraId="25EE99B3" w14:textId="6A29253C" w:rsidR="00625105" w:rsidRPr="00B10C32" w:rsidRDefault="00EF7F0B" w:rsidP="003021DB">
      <w:pPr>
        <w:spacing w:line="480" w:lineRule="auto"/>
        <w:rPr>
          <w:rFonts w:ascii="Times New Roman" w:eastAsia="Calibri" w:hAnsi="Times New Roman" w:cs="Times New Roman"/>
          <w:u w:val="single"/>
        </w:rPr>
      </w:pPr>
      <w:r w:rsidRPr="00B10C32">
        <w:rPr>
          <w:rFonts w:ascii="Times New Roman" w:eastAsia="Calibri" w:hAnsi="Times New Roman" w:cs="Times New Roman"/>
          <w:u w:val="single"/>
        </w:rPr>
        <w:t>25.55(b) Weather Emergency Preparedness</w:t>
      </w:r>
    </w:p>
    <w:p w14:paraId="1794F185" w14:textId="6F63B299" w:rsidR="00443117" w:rsidRDefault="00B54CD1" w:rsidP="00443117">
      <w:pPr>
        <w:spacing w:line="480" w:lineRule="auto"/>
        <w:ind w:firstLine="720"/>
        <w:rPr>
          <w:rFonts w:ascii="Times New Roman" w:eastAsia="Calibri" w:hAnsi="Times New Roman" w:cs="Times New Roman"/>
        </w:rPr>
      </w:pPr>
      <w:r>
        <w:rPr>
          <w:rFonts w:ascii="Times New Roman" w:eastAsia="Calibri" w:hAnsi="Times New Roman" w:cs="Times New Roman"/>
        </w:rPr>
        <w:lastRenderedPageBreak/>
        <w:t xml:space="preserve">25.55(b)(11) defines a weather emergency as a “situation resulting from weather conditions that </w:t>
      </w:r>
      <w:proofErr w:type="gramStart"/>
      <w:r>
        <w:rPr>
          <w:rFonts w:ascii="Times New Roman" w:eastAsia="Calibri" w:hAnsi="Times New Roman" w:cs="Times New Roman"/>
        </w:rPr>
        <w:t>produces</w:t>
      </w:r>
      <w:proofErr w:type="gramEnd"/>
      <w:r>
        <w:rPr>
          <w:rFonts w:ascii="Times New Roman" w:eastAsia="Calibri" w:hAnsi="Times New Roman" w:cs="Times New Roman"/>
        </w:rPr>
        <w:t xml:space="preserve"> significant risk …that firm load must be shed….”  Yet the proposed rule addresses only extreme cold and heat conditions.  In fact, recent extreme weather emergencies that produce significant risk of load shed or ERCOT weather-related risks include hurricanes, urban and inland flooding from storms, coastal storm surge, tornadoes, and wildfires.  </w:t>
      </w:r>
      <w:proofErr w:type="gramStart"/>
      <w:r>
        <w:rPr>
          <w:rFonts w:ascii="Times New Roman" w:eastAsia="Calibri" w:hAnsi="Times New Roman" w:cs="Times New Roman"/>
        </w:rPr>
        <w:t>All of</w:t>
      </w:r>
      <w:proofErr w:type="gramEnd"/>
      <w:r>
        <w:rPr>
          <w:rFonts w:ascii="Times New Roman" w:eastAsia="Calibri" w:hAnsi="Times New Roman" w:cs="Times New Roman"/>
        </w:rPr>
        <w:t xml:space="preserve"> these </w:t>
      </w:r>
      <w:r w:rsidR="00B10C32">
        <w:rPr>
          <w:rFonts w:ascii="Times New Roman" w:eastAsia="Calibri" w:hAnsi="Times New Roman" w:cs="Times New Roman"/>
        </w:rPr>
        <w:t xml:space="preserve">measures </w:t>
      </w:r>
      <w:r w:rsidR="009A5940">
        <w:rPr>
          <w:rFonts w:ascii="Times New Roman" w:eastAsia="Calibri" w:hAnsi="Times New Roman" w:cs="Times New Roman"/>
        </w:rPr>
        <w:t>can compromise power delivery to end use customers</w:t>
      </w:r>
      <w:r w:rsidR="009A5940">
        <w:rPr>
          <w:rFonts w:ascii="Times New Roman" w:eastAsia="Calibri" w:hAnsi="Times New Roman" w:cs="Times New Roman"/>
        </w:rPr>
        <w:t xml:space="preserve"> and </w:t>
      </w:r>
      <w:r w:rsidR="00B10C32">
        <w:rPr>
          <w:rFonts w:ascii="Times New Roman" w:eastAsia="Calibri" w:hAnsi="Times New Roman" w:cs="Times New Roman"/>
        </w:rPr>
        <w:t>should be included and addressed in this rule.</w:t>
      </w:r>
      <w:r w:rsidR="00443117">
        <w:rPr>
          <w:rFonts w:ascii="Times New Roman" w:eastAsia="Calibri" w:hAnsi="Times New Roman" w:cs="Times New Roman"/>
        </w:rPr>
        <w:t xml:space="preserve">  </w:t>
      </w:r>
    </w:p>
    <w:p w14:paraId="52B42020" w14:textId="13DCC588" w:rsidR="00DD3676" w:rsidRDefault="00443117" w:rsidP="00DD3676">
      <w:pPr>
        <w:spacing w:line="480" w:lineRule="auto"/>
        <w:ind w:firstLine="720"/>
        <w:rPr>
          <w:rFonts w:ascii="Times New Roman" w:eastAsia="Calibri" w:hAnsi="Times New Roman" w:cs="Times New Roman"/>
        </w:rPr>
      </w:pPr>
      <w:r>
        <w:rPr>
          <w:rFonts w:ascii="Times New Roman" w:eastAsia="Calibri" w:hAnsi="Times New Roman" w:cs="Times New Roman"/>
        </w:rPr>
        <w:t>Transmission lines are particularly vulnerable to failure from wildfires (which risk is increasing due to higher ambient temperatures and current drought conditions</w:t>
      </w:r>
      <w:r w:rsidR="009A5940">
        <w:rPr>
          <w:rFonts w:ascii="Times New Roman" w:eastAsia="Calibri" w:hAnsi="Times New Roman" w:cs="Times New Roman"/>
        </w:rPr>
        <w:t>)</w:t>
      </w:r>
      <w:r>
        <w:rPr>
          <w:rFonts w:ascii="Times New Roman" w:eastAsia="Calibri" w:hAnsi="Times New Roman" w:cs="Times New Roman"/>
        </w:rPr>
        <w:t xml:space="preserve">.  </w:t>
      </w:r>
      <w:r w:rsidR="00D662BE">
        <w:rPr>
          <w:rFonts w:ascii="Times New Roman" w:eastAsia="Calibri" w:hAnsi="Times New Roman" w:cs="Times New Roman"/>
        </w:rPr>
        <w:t xml:space="preserve">This weatherization rule should </w:t>
      </w:r>
      <w:r w:rsidR="009A5940">
        <w:rPr>
          <w:rFonts w:ascii="Times New Roman" w:eastAsia="Calibri" w:hAnsi="Times New Roman" w:cs="Times New Roman"/>
        </w:rPr>
        <w:t>expand</w:t>
      </w:r>
      <w:r>
        <w:rPr>
          <w:rFonts w:ascii="Times New Roman" w:eastAsia="Calibri" w:hAnsi="Times New Roman" w:cs="Times New Roman"/>
        </w:rPr>
        <w:t xml:space="preserve"> transmission service provider requirements to identify lines and substations in wildfire risk areas and the consequences for ERCOT system operation if the lines were shut down proactively or lost due to active wildfires.</w:t>
      </w:r>
    </w:p>
    <w:p w14:paraId="1792BF49" w14:textId="0869C847" w:rsidR="00A73635" w:rsidRPr="00A73635" w:rsidRDefault="00A73635" w:rsidP="00A73635">
      <w:pPr>
        <w:spacing w:line="480" w:lineRule="auto"/>
        <w:rPr>
          <w:rFonts w:ascii="Times New Roman" w:eastAsia="Calibri" w:hAnsi="Times New Roman" w:cs="Times New Roman"/>
          <w:u w:val="single"/>
        </w:rPr>
      </w:pPr>
      <w:r w:rsidRPr="00A73635">
        <w:rPr>
          <w:rFonts w:ascii="Times New Roman" w:eastAsia="Calibri" w:hAnsi="Times New Roman" w:cs="Times New Roman"/>
          <w:u w:val="single"/>
        </w:rPr>
        <w:t xml:space="preserve">Recognize and require attention to future </w:t>
      </w:r>
      <w:r w:rsidR="005C11D5">
        <w:rPr>
          <w:rFonts w:ascii="Times New Roman" w:eastAsia="Calibri" w:hAnsi="Times New Roman" w:cs="Times New Roman"/>
          <w:u w:val="single"/>
        </w:rPr>
        <w:t xml:space="preserve">climate change-driven </w:t>
      </w:r>
      <w:r w:rsidRPr="00A73635">
        <w:rPr>
          <w:rFonts w:ascii="Times New Roman" w:eastAsia="Calibri" w:hAnsi="Times New Roman" w:cs="Times New Roman"/>
          <w:u w:val="single"/>
        </w:rPr>
        <w:t>extreme weather risks</w:t>
      </w:r>
    </w:p>
    <w:p w14:paraId="2AD8B9AC" w14:textId="3625A53F" w:rsidR="006725FC" w:rsidRDefault="006725FC" w:rsidP="006B2C0B">
      <w:pPr>
        <w:spacing w:line="480" w:lineRule="auto"/>
        <w:ind w:firstLine="720"/>
        <w:rPr>
          <w:rFonts w:ascii="Times New Roman" w:eastAsia="Calibri" w:hAnsi="Times New Roman" w:cs="Times New Roman"/>
        </w:rPr>
      </w:pPr>
      <w:r>
        <w:rPr>
          <w:rFonts w:ascii="Times New Roman" w:eastAsia="Calibri" w:hAnsi="Times New Roman" w:cs="Times New Roman"/>
        </w:rPr>
        <w:t>The Office of the Texas State Climatologist has already published a forward-looking report explaining the impacts of climate change on Texas</w:t>
      </w:r>
      <w:r w:rsidR="00DD3676">
        <w:rPr>
          <w:rFonts w:ascii="Times New Roman" w:eastAsia="Calibri" w:hAnsi="Times New Roman" w:cs="Times New Roman"/>
        </w:rPr>
        <w:t>.</w:t>
      </w:r>
      <w:r w:rsidR="00DD3676">
        <w:rPr>
          <w:rStyle w:val="FootnoteReference"/>
          <w:rFonts w:ascii="Times New Roman" w:eastAsia="Calibri" w:hAnsi="Times New Roman" w:cs="Times New Roman"/>
        </w:rPr>
        <w:footnoteReference w:id="1"/>
      </w:r>
      <w:r w:rsidR="00DD3676">
        <w:rPr>
          <w:rFonts w:ascii="Times New Roman" w:eastAsia="Calibri" w:hAnsi="Times New Roman" w:cs="Times New Roman"/>
        </w:rPr>
        <w:t xml:space="preserve"> </w:t>
      </w:r>
      <w:r w:rsidR="00DD3676">
        <w:rPr>
          <w:rFonts w:ascii="Times New Roman" w:eastAsia="Calibri" w:hAnsi="Times New Roman" w:cs="Times New Roman"/>
        </w:rPr>
        <w:t xml:space="preserve"> </w:t>
      </w:r>
      <w:r w:rsidRPr="00DD3676">
        <w:rPr>
          <w:rFonts w:ascii="Times New Roman" w:eastAsia="Calibri" w:hAnsi="Times New Roman" w:cs="Times New Roman"/>
        </w:rPr>
        <w:t xml:space="preserve">That report </w:t>
      </w:r>
      <w:r w:rsidR="00DD3676" w:rsidRPr="00DD3676">
        <w:rPr>
          <w:rFonts w:ascii="Times New Roman" w:eastAsia="Calibri" w:hAnsi="Times New Roman" w:cs="Times New Roman"/>
        </w:rPr>
        <w:t>states, “</w:t>
      </w:r>
      <w:r w:rsidR="00DD3676" w:rsidRPr="00DD3676">
        <w:rPr>
          <w:rFonts w:ascii="Times New Roman" w:hAnsi="Times New Roman" w:cs="Times New Roman"/>
          <w:color w:val="050707"/>
        </w:rPr>
        <w:t>The average annual Texas surface temperature in 2036 is expected to be 3.0°F warmer than the 1950-1999 average and 1.8°F warmer than the 1991-2020 average. The number of 100-degree days at typical stations is expected to nearly double by 2036 compared to 2001-2020, with higher frequency of 100-degree days in urban areas.</w:t>
      </w:r>
      <w:r w:rsidR="00DD3676">
        <w:rPr>
          <w:rFonts w:ascii="Times New Roman" w:hAnsi="Times New Roman" w:cs="Times New Roman"/>
          <w:color w:val="050707"/>
        </w:rPr>
        <w:t>”</w:t>
      </w:r>
      <w:r w:rsidR="00DD3676">
        <w:rPr>
          <w:rStyle w:val="FootnoteReference"/>
          <w:rFonts w:ascii="Times New Roman" w:hAnsi="Times New Roman" w:cs="Times New Roman"/>
          <w:color w:val="050707"/>
        </w:rPr>
        <w:footnoteReference w:id="2"/>
      </w:r>
      <w:r>
        <w:rPr>
          <w:rFonts w:ascii="Times New Roman" w:eastAsia="Calibri" w:hAnsi="Times New Roman" w:cs="Times New Roman"/>
        </w:rPr>
        <w:t xml:space="preserve"> </w:t>
      </w:r>
      <w:r w:rsidR="00B23D34">
        <w:rPr>
          <w:rFonts w:ascii="Times New Roman" w:eastAsia="Calibri" w:hAnsi="Times New Roman" w:cs="Times New Roman"/>
        </w:rPr>
        <w:t xml:space="preserve"> The State Climatologist also warns of increasing extreme rainfall events in Texas, which could cause more severe flooding events that could compromise grid assets.</w:t>
      </w:r>
    </w:p>
    <w:p w14:paraId="38214FE1" w14:textId="77777777" w:rsidR="00D662BE" w:rsidRPr="00D662BE" w:rsidRDefault="00932C0D" w:rsidP="00D662BE">
      <w:pPr>
        <w:spacing w:line="480" w:lineRule="auto"/>
        <w:rPr>
          <w:rFonts w:ascii="Times New Roman" w:eastAsia="Calibri" w:hAnsi="Times New Roman" w:cs="Times New Roman"/>
          <w:u w:val="single"/>
        </w:rPr>
      </w:pPr>
      <w:r w:rsidRPr="00D662BE">
        <w:rPr>
          <w:rFonts w:ascii="Times New Roman" w:eastAsia="Calibri" w:hAnsi="Times New Roman" w:cs="Times New Roman"/>
          <w:u w:val="single"/>
        </w:rPr>
        <w:lastRenderedPageBreak/>
        <w:t>25.55(c)(1)(B)</w:t>
      </w:r>
      <w:r w:rsidR="009950FF" w:rsidRPr="00D662BE">
        <w:rPr>
          <w:rFonts w:ascii="Times New Roman" w:eastAsia="Calibri" w:hAnsi="Times New Roman" w:cs="Times New Roman"/>
          <w:u w:val="single"/>
        </w:rPr>
        <w:t xml:space="preserve"> ERCOT historical weather study</w:t>
      </w:r>
    </w:p>
    <w:p w14:paraId="32C0A53B" w14:textId="5D5BCA29" w:rsidR="006B2C0B" w:rsidRPr="006B2C0B" w:rsidRDefault="00D662BE" w:rsidP="006B2C0B">
      <w:pPr>
        <w:spacing w:line="480" w:lineRule="auto"/>
        <w:ind w:firstLine="720"/>
        <w:rPr>
          <w:rFonts w:ascii="Times New Roman" w:eastAsia="Calibri" w:hAnsi="Times New Roman" w:cs="Times New Roman"/>
        </w:rPr>
      </w:pPr>
      <w:r w:rsidRPr="00D662BE">
        <w:rPr>
          <w:rFonts w:ascii="Times New Roman" w:eastAsia="Calibri" w:hAnsi="Times New Roman" w:cs="Times New Roman"/>
        </w:rPr>
        <w:t xml:space="preserve">The proposed rule would require generation and transmission owners to </w:t>
      </w:r>
      <w:r w:rsidR="00A73635">
        <w:rPr>
          <w:rFonts w:ascii="Times New Roman" w:eastAsia="Calibri" w:hAnsi="Times New Roman" w:cs="Times New Roman"/>
        </w:rPr>
        <w:t>prepare facilities to meet</w:t>
      </w:r>
      <w:r w:rsidRPr="00D662BE">
        <w:rPr>
          <w:rFonts w:ascii="Times New Roman" w:eastAsia="Calibri" w:hAnsi="Times New Roman" w:cs="Times New Roman"/>
        </w:rPr>
        <w:t xml:space="preserve"> a 95</w:t>
      </w:r>
      <w:r w:rsidRPr="00D662BE">
        <w:rPr>
          <w:rFonts w:ascii="Times New Roman" w:eastAsia="Calibri" w:hAnsi="Times New Roman" w:cs="Times New Roman"/>
          <w:vertAlign w:val="superscript"/>
        </w:rPr>
        <w:t>th</w:t>
      </w:r>
      <w:r w:rsidRPr="00D662BE">
        <w:rPr>
          <w:rFonts w:ascii="Times New Roman" w:eastAsia="Calibri" w:hAnsi="Times New Roman" w:cs="Times New Roman"/>
        </w:rPr>
        <w:t xml:space="preserve"> percentile of min/max temperature (based on historical weather conditions) standard for both hot and cold weather requirements by ERCOT weather zones.  However, both science and actual experience establish that historic weather conditions do not </w:t>
      </w:r>
      <w:r w:rsidR="00E10882">
        <w:rPr>
          <w:rFonts w:ascii="Times New Roman" w:eastAsia="Calibri" w:hAnsi="Times New Roman" w:cs="Times New Roman"/>
        </w:rPr>
        <w:t>accurate</w:t>
      </w:r>
      <w:r w:rsidRPr="00D662BE">
        <w:rPr>
          <w:rFonts w:ascii="Times New Roman" w:eastAsia="Calibri" w:hAnsi="Times New Roman" w:cs="Times New Roman"/>
        </w:rPr>
        <w:t>ly reflect current and future weather conditions, as reflected in the National Weather Service temperature graph below.</w:t>
      </w:r>
      <w:r w:rsidR="006B2C0B">
        <w:rPr>
          <w:rFonts w:ascii="Times New Roman" w:eastAsia="Calibri" w:hAnsi="Times New Roman" w:cs="Times New Roman"/>
        </w:rPr>
        <w:t xml:space="preserve">  The actual high temperatures and drought already experienced in Texas this year and predicted for this summer have </w:t>
      </w:r>
      <w:r w:rsidR="004815E5">
        <w:rPr>
          <w:rFonts w:ascii="Times New Roman" w:eastAsia="Calibri" w:hAnsi="Times New Roman" w:cs="Times New Roman"/>
        </w:rPr>
        <w:t xml:space="preserve">already </w:t>
      </w:r>
      <w:r w:rsidR="006B2C0B">
        <w:rPr>
          <w:rFonts w:ascii="Times New Roman" w:eastAsia="Calibri" w:hAnsi="Times New Roman" w:cs="Times New Roman"/>
        </w:rPr>
        <w:t xml:space="preserve">driven ERCOT loads to unprecedented levels </w:t>
      </w:r>
      <w:r w:rsidR="004815E5">
        <w:rPr>
          <w:rFonts w:ascii="Times New Roman" w:eastAsia="Calibri" w:hAnsi="Times New Roman" w:cs="Times New Roman"/>
        </w:rPr>
        <w:t xml:space="preserve">(above ERCOT’s 2022 forecast maximum load) </w:t>
      </w:r>
      <w:r w:rsidR="006B2C0B">
        <w:rPr>
          <w:rFonts w:ascii="Times New Roman" w:eastAsia="Calibri" w:hAnsi="Times New Roman" w:cs="Times New Roman"/>
        </w:rPr>
        <w:t>for extended periods of time</w:t>
      </w:r>
      <w:r w:rsidR="00421715">
        <w:rPr>
          <w:rFonts w:ascii="Times New Roman" w:eastAsia="Calibri" w:hAnsi="Times New Roman" w:cs="Times New Roman"/>
        </w:rPr>
        <w:t>;</w:t>
      </w:r>
      <w:r w:rsidR="006B2C0B">
        <w:rPr>
          <w:rFonts w:ascii="Times New Roman" w:eastAsia="Calibri" w:hAnsi="Times New Roman" w:cs="Times New Roman"/>
        </w:rPr>
        <w:t xml:space="preserve"> </w:t>
      </w:r>
      <w:r w:rsidR="00421715">
        <w:rPr>
          <w:rFonts w:ascii="Times New Roman" w:eastAsia="Calibri" w:hAnsi="Times New Roman" w:cs="Times New Roman"/>
        </w:rPr>
        <w:t>this</w:t>
      </w:r>
      <w:r w:rsidR="006B2C0B">
        <w:rPr>
          <w:rFonts w:ascii="Times New Roman" w:eastAsia="Calibri" w:hAnsi="Times New Roman" w:cs="Times New Roman"/>
        </w:rPr>
        <w:t xml:space="preserve"> would not have been anticipated and prepared for under the PUCT proposed rule.</w:t>
      </w:r>
    </w:p>
    <w:p w14:paraId="1639614B" w14:textId="77777777" w:rsidR="003531CB" w:rsidRDefault="006B2C0B" w:rsidP="003531CB">
      <w:pPr>
        <w:jc w:val="center"/>
        <w:rPr>
          <w:rFonts w:ascii="Times New Roman" w:eastAsia="Calibri" w:hAnsi="Times New Roman" w:cs="Times New Roman"/>
          <w:b/>
          <w:bCs/>
        </w:rPr>
      </w:pPr>
      <w:r w:rsidRPr="006B2C0B">
        <w:rPr>
          <w:rFonts w:ascii="Times New Roman" w:eastAsia="Calibri" w:hAnsi="Times New Roman" w:cs="Times New Roman"/>
          <w:b/>
          <w:bCs/>
        </w:rPr>
        <w:t xml:space="preserve">2022 Temperatures in San Antonio Area Consistently Higher than Past Years, </w:t>
      </w:r>
    </w:p>
    <w:p w14:paraId="62B84599" w14:textId="0F930527" w:rsidR="006B2C0B" w:rsidRDefault="006B2C0B" w:rsidP="003531CB">
      <w:pPr>
        <w:ind w:firstLine="720"/>
        <w:jc w:val="center"/>
        <w:rPr>
          <w:rFonts w:ascii="Times New Roman" w:eastAsia="Calibri" w:hAnsi="Times New Roman" w:cs="Times New Roman"/>
          <w:b/>
          <w:bCs/>
        </w:rPr>
      </w:pPr>
      <w:r w:rsidRPr="006B2C0B">
        <w:rPr>
          <w:rFonts w:ascii="Times New Roman" w:eastAsia="Calibri" w:hAnsi="Times New Roman" w:cs="Times New Roman"/>
          <w:b/>
          <w:bCs/>
        </w:rPr>
        <w:t>with Precipitation Consistently Lower</w:t>
      </w:r>
    </w:p>
    <w:p w14:paraId="260A396A" w14:textId="238FA379" w:rsidR="006B2C0B" w:rsidRPr="006B2C0B" w:rsidRDefault="006B2C0B" w:rsidP="003531CB">
      <w:pPr>
        <w:spacing w:line="480" w:lineRule="auto"/>
        <w:jc w:val="center"/>
        <w:rPr>
          <w:rFonts w:ascii="Times New Roman" w:eastAsia="Calibri" w:hAnsi="Times New Roman" w:cs="Times New Roman"/>
          <w:sz w:val="21"/>
          <w:szCs w:val="21"/>
        </w:rPr>
      </w:pPr>
      <w:r w:rsidRPr="00B377D3">
        <w:rPr>
          <w:rFonts w:ascii="Times New Roman" w:eastAsia="Calibri" w:hAnsi="Times New Roman" w:cs="Times New Roman"/>
          <w:sz w:val="21"/>
          <w:szCs w:val="21"/>
        </w:rPr>
        <w:t xml:space="preserve">Source:  </w:t>
      </w:r>
      <w:hyperlink r:id="rId7" w:history="1">
        <w:r w:rsidRPr="00C175E9">
          <w:rPr>
            <w:rStyle w:val="Hyperlink"/>
            <w:rFonts w:ascii="Times New Roman" w:eastAsia="Calibri" w:hAnsi="Times New Roman" w:cs="Times New Roman"/>
            <w:sz w:val="21"/>
            <w:szCs w:val="21"/>
          </w:rPr>
          <w:t>https://www.weather.gov/ewx/climategraphs</w:t>
        </w:r>
      </w:hyperlink>
    </w:p>
    <w:p w14:paraId="3FE954BB" w14:textId="51DE33AE" w:rsidR="00D662BE" w:rsidRDefault="00D662BE" w:rsidP="00B73773">
      <w:pPr>
        <w:spacing w:line="480" w:lineRule="auto"/>
        <w:jc w:val="center"/>
        <w:rPr>
          <w:rFonts w:ascii="Times New Roman" w:eastAsia="Calibri" w:hAnsi="Times New Roman" w:cs="Times New Roman"/>
        </w:rPr>
      </w:pPr>
      <w:r>
        <w:rPr>
          <w:rFonts w:ascii="Times New Roman" w:eastAsia="Calibri" w:hAnsi="Times New Roman" w:cs="Times New Roman"/>
          <w:noProof/>
        </w:rPr>
        <w:drawing>
          <wp:inline distT="0" distB="0" distL="0" distR="0" wp14:anchorId="71802DAF" wp14:editId="1BB68C80">
            <wp:extent cx="3254587" cy="4022335"/>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83797" cy="4058435"/>
                    </a:xfrm>
                    <a:prstGeom prst="rect">
                      <a:avLst/>
                    </a:prstGeom>
                  </pic:spPr>
                </pic:pic>
              </a:graphicData>
            </a:graphic>
          </wp:inline>
        </w:drawing>
      </w:r>
    </w:p>
    <w:p w14:paraId="7C66F540" w14:textId="0DD15E58" w:rsidR="00BF3C94" w:rsidRDefault="003531CB" w:rsidP="00D662BE">
      <w:pPr>
        <w:spacing w:line="480" w:lineRule="auto"/>
        <w:rPr>
          <w:rFonts w:ascii="Times New Roman" w:eastAsia="Calibri" w:hAnsi="Times New Roman" w:cs="Times New Roman"/>
        </w:rPr>
      </w:pPr>
      <w:r>
        <w:rPr>
          <w:rFonts w:ascii="Times New Roman" w:eastAsia="Calibri" w:hAnsi="Times New Roman" w:cs="Times New Roman"/>
        </w:rPr>
        <w:lastRenderedPageBreak/>
        <w:tab/>
        <w:t xml:space="preserve">Additionally, the rule as drafted allows </w:t>
      </w:r>
      <w:r w:rsidR="005C11D5">
        <w:rPr>
          <w:rFonts w:ascii="Times New Roman" w:eastAsia="Calibri" w:hAnsi="Times New Roman" w:cs="Times New Roman"/>
        </w:rPr>
        <w:t>potential</w:t>
      </w:r>
      <w:r>
        <w:rPr>
          <w:rFonts w:ascii="Times New Roman" w:eastAsia="Calibri" w:hAnsi="Times New Roman" w:cs="Times New Roman"/>
        </w:rPr>
        <w:t xml:space="preserve"> </w:t>
      </w:r>
      <w:r w:rsidR="00B73773">
        <w:rPr>
          <w:rFonts w:ascii="Times New Roman" w:eastAsia="Calibri" w:hAnsi="Times New Roman" w:cs="Times New Roman"/>
        </w:rPr>
        <w:t xml:space="preserve">manipulation </w:t>
      </w:r>
      <w:r>
        <w:rPr>
          <w:rFonts w:ascii="Times New Roman" w:eastAsia="Calibri" w:hAnsi="Times New Roman" w:cs="Times New Roman"/>
        </w:rPr>
        <w:t xml:space="preserve">of historic weather data to bias </w:t>
      </w:r>
      <w:r w:rsidR="00BF3C94">
        <w:rPr>
          <w:rFonts w:ascii="Times New Roman" w:eastAsia="Calibri" w:hAnsi="Times New Roman" w:cs="Times New Roman"/>
        </w:rPr>
        <w:t>temperature ranges downward</w:t>
      </w:r>
      <w:r w:rsidR="005C11D5">
        <w:rPr>
          <w:rFonts w:ascii="Times New Roman" w:eastAsia="Calibri" w:hAnsi="Times New Roman" w:cs="Times New Roman"/>
        </w:rPr>
        <w:t>, as would occur</w:t>
      </w:r>
      <w:r w:rsidR="00837249">
        <w:rPr>
          <w:rFonts w:ascii="Times New Roman" w:eastAsia="Calibri" w:hAnsi="Times New Roman" w:cs="Times New Roman"/>
        </w:rPr>
        <w:t xml:space="preserve"> </w:t>
      </w:r>
      <w:r w:rsidR="00BF3C94">
        <w:rPr>
          <w:rFonts w:ascii="Times New Roman" w:eastAsia="Calibri" w:hAnsi="Times New Roman" w:cs="Times New Roman"/>
        </w:rPr>
        <w:t xml:space="preserve">if the historical temperature study </w:t>
      </w:r>
      <w:r w:rsidR="005C11D5">
        <w:rPr>
          <w:rFonts w:ascii="Times New Roman" w:eastAsia="Calibri" w:hAnsi="Times New Roman" w:cs="Times New Roman"/>
        </w:rPr>
        <w:t>uses too long a</w:t>
      </w:r>
      <w:r w:rsidR="00BF3C94">
        <w:rPr>
          <w:rFonts w:ascii="Times New Roman" w:eastAsia="Calibri" w:hAnsi="Times New Roman" w:cs="Times New Roman"/>
        </w:rPr>
        <w:t xml:space="preserve"> </w:t>
      </w:r>
      <w:r w:rsidR="005C11D5">
        <w:rPr>
          <w:rFonts w:ascii="Times New Roman" w:eastAsia="Calibri" w:hAnsi="Times New Roman" w:cs="Times New Roman"/>
        </w:rPr>
        <w:t xml:space="preserve">historical period.  This is </w:t>
      </w:r>
      <w:r w:rsidR="00BF3C94">
        <w:rPr>
          <w:rFonts w:ascii="Times New Roman" w:eastAsia="Calibri" w:hAnsi="Times New Roman" w:cs="Times New Roman"/>
        </w:rPr>
        <w:t>made clear by the graph below from the State Climatologist’s report,</w:t>
      </w:r>
      <w:r w:rsidR="00AA292B">
        <w:rPr>
          <w:rStyle w:val="FootnoteReference"/>
          <w:rFonts w:ascii="Times New Roman" w:eastAsia="Calibri" w:hAnsi="Times New Roman" w:cs="Times New Roman"/>
        </w:rPr>
        <w:footnoteReference w:id="3"/>
      </w:r>
      <w:r w:rsidR="00BF3C94">
        <w:rPr>
          <w:rFonts w:ascii="Times New Roman" w:eastAsia="Calibri" w:hAnsi="Times New Roman" w:cs="Times New Roman"/>
        </w:rPr>
        <w:t xml:space="preserve"> which shows that the four Texas climate zones have experienced many more 100</w:t>
      </w:r>
      <w:r w:rsidR="001C4B8C" w:rsidRPr="00DD3676">
        <w:rPr>
          <w:rFonts w:ascii="Times New Roman" w:hAnsi="Times New Roman" w:cs="Times New Roman"/>
          <w:color w:val="050707"/>
        </w:rPr>
        <w:t>°</w:t>
      </w:r>
      <w:r w:rsidR="00BF3C94">
        <w:rPr>
          <w:rFonts w:ascii="Times New Roman" w:eastAsia="Calibri" w:hAnsi="Times New Roman" w:cs="Times New Roman"/>
        </w:rPr>
        <w:t xml:space="preserve">F days since 1996 than in prior years.  For that reason, we recommend that the historic temperatures study </w:t>
      </w:r>
      <w:r w:rsidR="00BF3C94" w:rsidRPr="00B73773">
        <w:rPr>
          <w:rFonts w:ascii="Times New Roman" w:eastAsia="Calibri" w:hAnsi="Times New Roman" w:cs="Times New Roman"/>
          <w:u w:val="single"/>
        </w:rPr>
        <w:t>not allow</w:t>
      </w:r>
      <w:r w:rsidR="00BF3C94">
        <w:rPr>
          <w:rFonts w:ascii="Times New Roman" w:eastAsia="Calibri" w:hAnsi="Times New Roman" w:cs="Times New Roman"/>
        </w:rPr>
        <w:t xml:space="preserve"> </w:t>
      </w:r>
      <w:r w:rsidR="00A73635">
        <w:rPr>
          <w:rFonts w:ascii="Times New Roman" w:eastAsia="Calibri" w:hAnsi="Times New Roman" w:cs="Times New Roman"/>
        </w:rPr>
        <w:t xml:space="preserve">incorporation </w:t>
      </w:r>
      <w:r w:rsidR="00BF3C94">
        <w:rPr>
          <w:rFonts w:ascii="Times New Roman" w:eastAsia="Calibri" w:hAnsi="Times New Roman" w:cs="Times New Roman"/>
        </w:rPr>
        <w:t xml:space="preserve">of full year </w:t>
      </w:r>
      <w:r w:rsidR="005C11D5">
        <w:rPr>
          <w:rFonts w:ascii="Times New Roman" w:eastAsia="Calibri" w:hAnsi="Times New Roman" w:cs="Times New Roman"/>
        </w:rPr>
        <w:t xml:space="preserve">temperature </w:t>
      </w:r>
      <w:r w:rsidR="00BF3C94">
        <w:rPr>
          <w:rFonts w:ascii="Times New Roman" w:eastAsia="Calibri" w:hAnsi="Times New Roman" w:cs="Times New Roman"/>
        </w:rPr>
        <w:t xml:space="preserve">data before 1996, and that the </w:t>
      </w:r>
      <w:r w:rsidR="00AA292B">
        <w:rPr>
          <w:rFonts w:ascii="Times New Roman" w:eastAsia="Calibri" w:hAnsi="Times New Roman" w:cs="Times New Roman"/>
        </w:rPr>
        <w:t xml:space="preserve">high temperature events after 1995 be supplemented with </w:t>
      </w:r>
      <w:r w:rsidR="00802CF4">
        <w:rPr>
          <w:rFonts w:ascii="Times New Roman" w:eastAsia="Calibri" w:hAnsi="Times New Roman" w:cs="Times New Roman"/>
        </w:rPr>
        <w:t>event-</w:t>
      </w:r>
      <w:r w:rsidR="00AA292B">
        <w:rPr>
          <w:rFonts w:ascii="Times New Roman" w:eastAsia="Calibri" w:hAnsi="Times New Roman" w:cs="Times New Roman"/>
        </w:rPr>
        <w:t xml:space="preserve">specific data for </w:t>
      </w:r>
      <w:r w:rsidR="00A73635">
        <w:rPr>
          <w:rFonts w:ascii="Times New Roman" w:eastAsia="Calibri" w:hAnsi="Times New Roman" w:cs="Times New Roman"/>
        </w:rPr>
        <w:t xml:space="preserve">at least </w:t>
      </w:r>
      <w:r w:rsidR="00AA292B">
        <w:rPr>
          <w:rFonts w:ascii="Times New Roman" w:eastAsia="Calibri" w:hAnsi="Times New Roman" w:cs="Times New Roman"/>
        </w:rPr>
        <w:t xml:space="preserve">the worst </w:t>
      </w:r>
      <w:r w:rsidR="00B73773">
        <w:rPr>
          <w:rFonts w:ascii="Times New Roman" w:eastAsia="Calibri" w:hAnsi="Times New Roman" w:cs="Times New Roman"/>
        </w:rPr>
        <w:t>five</w:t>
      </w:r>
      <w:r w:rsidR="00AA292B">
        <w:rPr>
          <w:rFonts w:ascii="Times New Roman" w:eastAsia="Calibri" w:hAnsi="Times New Roman" w:cs="Times New Roman"/>
        </w:rPr>
        <w:t xml:space="preserve"> extreme weather events in each categor</w:t>
      </w:r>
      <w:r w:rsidR="00B73773">
        <w:rPr>
          <w:rFonts w:ascii="Times New Roman" w:eastAsia="Calibri" w:hAnsi="Times New Roman" w:cs="Times New Roman"/>
        </w:rPr>
        <w:t>y from</w:t>
      </w:r>
      <w:r w:rsidR="00AA292B">
        <w:rPr>
          <w:rFonts w:ascii="Times New Roman" w:eastAsia="Calibri" w:hAnsi="Times New Roman" w:cs="Times New Roman"/>
        </w:rPr>
        <w:t xml:space="preserve"> the historical record preceding 1996. </w:t>
      </w:r>
    </w:p>
    <w:p w14:paraId="32DF38F2" w14:textId="053C8AE0" w:rsidR="003531CB" w:rsidRDefault="00BF3C94" w:rsidP="00AA292B">
      <w:pPr>
        <w:spacing w:line="480" w:lineRule="auto"/>
        <w:jc w:val="center"/>
        <w:rPr>
          <w:rFonts w:ascii="Times New Roman" w:eastAsia="Calibri" w:hAnsi="Times New Roman" w:cs="Times New Roman"/>
        </w:rPr>
      </w:pPr>
      <w:r>
        <w:rPr>
          <w:rFonts w:ascii="Times New Roman" w:eastAsia="Calibri" w:hAnsi="Times New Roman" w:cs="Times New Roman"/>
          <w:noProof/>
        </w:rPr>
        <w:drawing>
          <wp:inline distT="0" distB="0" distL="0" distR="0" wp14:anchorId="7BE061D5" wp14:editId="55C09172">
            <wp:extent cx="4994049" cy="34600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35263" cy="3488641"/>
                    </a:xfrm>
                    <a:prstGeom prst="rect">
                      <a:avLst/>
                    </a:prstGeom>
                  </pic:spPr>
                </pic:pic>
              </a:graphicData>
            </a:graphic>
          </wp:inline>
        </w:drawing>
      </w:r>
    </w:p>
    <w:p w14:paraId="694C6622" w14:textId="5375F01E" w:rsidR="006131C2" w:rsidRPr="006131C2" w:rsidRDefault="005C11D5" w:rsidP="003021DB">
      <w:pPr>
        <w:spacing w:line="480" w:lineRule="auto"/>
        <w:rPr>
          <w:rFonts w:ascii="Times New Roman" w:eastAsia="Calibri" w:hAnsi="Times New Roman" w:cs="Times New Roman"/>
          <w:u w:val="single"/>
        </w:rPr>
      </w:pPr>
      <w:r>
        <w:rPr>
          <w:rFonts w:ascii="Times New Roman" w:eastAsia="Calibri" w:hAnsi="Times New Roman" w:cs="Times New Roman"/>
          <w:u w:val="single"/>
        </w:rPr>
        <w:t>S</w:t>
      </w:r>
      <w:r w:rsidR="006131C2" w:rsidRPr="006131C2">
        <w:rPr>
          <w:rFonts w:ascii="Times New Roman" w:eastAsia="Calibri" w:hAnsi="Times New Roman" w:cs="Times New Roman"/>
          <w:u w:val="single"/>
        </w:rPr>
        <w:t>ummer and winter preparation</w:t>
      </w:r>
      <w:r w:rsidR="00B919F3">
        <w:rPr>
          <w:rFonts w:ascii="Times New Roman" w:eastAsia="Calibri" w:hAnsi="Times New Roman" w:cs="Times New Roman"/>
          <w:u w:val="single"/>
        </w:rPr>
        <w:t xml:space="preserve"> temperature benchmark</w:t>
      </w:r>
    </w:p>
    <w:p w14:paraId="4C8F3E47" w14:textId="3AE38298" w:rsidR="006131C2" w:rsidRDefault="006131C2" w:rsidP="003021DB">
      <w:pPr>
        <w:spacing w:line="480" w:lineRule="auto"/>
        <w:rPr>
          <w:rFonts w:ascii="Times New Roman" w:eastAsia="Calibri" w:hAnsi="Times New Roman" w:cs="Times New Roman"/>
        </w:rPr>
      </w:pPr>
      <w:r>
        <w:rPr>
          <w:rFonts w:ascii="Times New Roman" w:eastAsia="Calibri" w:hAnsi="Times New Roman" w:cs="Times New Roman"/>
        </w:rPr>
        <w:tab/>
      </w:r>
      <w:r w:rsidR="00B919F3">
        <w:rPr>
          <w:rFonts w:ascii="Times New Roman" w:eastAsia="Calibri" w:hAnsi="Times New Roman" w:cs="Times New Roman"/>
        </w:rPr>
        <w:t>T</w:t>
      </w:r>
      <w:r>
        <w:rPr>
          <w:rFonts w:ascii="Times New Roman" w:eastAsia="Calibri" w:hAnsi="Times New Roman" w:cs="Times New Roman"/>
        </w:rPr>
        <w:t xml:space="preserve">he proposed rule ties weather emergency preparation measures to </w:t>
      </w:r>
      <w:r w:rsidR="00B919F3">
        <w:rPr>
          <w:rFonts w:ascii="Times New Roman" w:eastAsia="Calibri" w:hAnsi="Times New Roman" w:cs="Times New Roman"/>
        </w:rPr>
        <w:t>“the lesser of the minimum ambient temperature at which the facility has experienced sustained operations or the 95</w:t>
      </w:r>
      <w:r w:rsidR="00B919F3" w:rsidRPr="00B919F3">
        <w:rPr>
          <w:rFonts w:ascii="Times New Roman" w:eastAsia="Calibri" w:hAnsi="Times New Roman" w:cs="Times New Roman"/>
          <w:vertAlign w:val="superscript"/>
        </w:rPr>
        <w:t>th</w:t>
      </w:r>
      <w:r w:rsidR="00B919F3">
        <w:rPr>
          <w:rFonts w:ascii="Times New Roman" w:eastAsia="Calibri" w:hAnsi="Times New Roman" w:cs="Times New Roman"/>
        </w:rPr>
        <w:t xml:space="preserve"> percentile minimum average 72</w:t>
      </w:r>
      <w:r w:rsidR="001C4B8C">
        <w:rPr>
          <w:rFonts w:ascii="Times New Roman" w:eastAsia="Calibri" w:hAnsi="Times New Roman" w:cs="Times New Roman"/>
        </w:rPr>
        <w:t>-</w:t>
      </w:r>
      <w:r w:rsidR="00B919F3">
        <w:rPr>
          <w:rFonts w:ascii="Times New Roman" w:eastAsia="Calibri" w:hAnsi="Times New Roman" w:cs="Times New Roman"/>
        </w:rPr>
        <w:t xml:space="preserve">hour temperature reported in ERCOT’s historical weather </w:t>
      </w:r>
      <w:r w:rsidR="00B919F3">
        <w:rPr>
          <w:rFonts w:ascii="Times New Roman" w:eastAsia="Calibri" w:hAnsi="Times New Roman" w:cs="Times New Roman"/>
        </w:rPr>
        <w:lastRenderedPageBreak/>
        <w:t xml:space="preserve">study” (for winter, or the maximum temperatures for summer).  Given the degree to which sustained high temperatures are driving ERCOT customer demands much higher and stressing assets, it is not obvious that the average temperature over 72 hours is the most appropriate metric to reflect generation or transmission extreme temperature challenges; </w:t>
      </w:r>
      <w:r w:rsidR="00B919F3" w:rsidRPr="005115C1">
        <w:rPr>
          <w:rFonts w:ascii="Times New Roman" w:eastAsia="Calibri" w:hAnsi="Times New Roman" w:cs="Times New Roman"/>
        </w:rPr>
        <w:t>consider that Winter Storm Uri featured temperatures below freezing for five days</w:t>
      </w:r>
      <w:r w:rsidR="0099431F">
        <w:rPr>
          <w:rFonts w:ascii="Times New Roman" w:eastAsia="Calibri" w:hAnsi="Times New Roman" w:cs="Times New Roman"/>
        </w:rPr>
        <w:t xml:space="preserve">, the 2011 heat wave dragged on for months, the 1980 heat wave </w:t>
      </w:r>
      <w:r w:rsidR="00661ED0">
        <w:rPr>
          <w:rFonts w:ascii="Times New Roman" w:eastAsia="Calibri" w:hAnsi="Times New Roman" w:cs="Times New Roman"/>
        </w:rPr>
        <w:t>produced 69 100</w:t>
      </w:r>
      <w:r w:rsidR="00661ED0" w:rsidRPr="005115C1">
        <w:rPr>
          <w:rFonts w:ascii="Times New Roman" w:hAnsi="Times New Roman" w:cs="Times New Roman"/>
          <w:color w:val="050707"/>
        </w:rPr>
        <w:t>°</w:t>
      </w:r>
      <w:r w:rsidR="00661ED0">
        <w:rPr>
          <w:rFonts w:ascii="Times New Roman" w:eastAsia="Calibri" w:hAnsi="Times New Roman" w:cs="Times New Roman"/>
        </w:rPr>
        <w:t xml:space="preserve">F days at the DFW airport, </w:t>
      </w:r>
      <w:r w:rsidR="00B919F3" w:rsidRPr="005115C1">
        <w:rPr>
          <w:rFonts w:ascii="Times New Roman" w:eastAsia="Calibri" w:hAnsi="Times New Roman" w:cs="Times New Roman"/>
        </w:rPr>
        <w:t xml:space="preserve">and </w:t>
      </w:r>
      <w:r w:rsidR="00615818" w:rsidRPr="005115C1">
        <w:rPr>
          <w:rFonts w:ascii="Times New Roman" w:eastAsia="Calibri" w:hAnsi="Times New Roman" w:cs="Times New Roman"/>
        </w:rPr>
        <w:t xml:space="preserve">the current Texas heat wave has </w:t>
      </w:r>
      <w:r w:rsidR="00661ED0">
        <w:rPr>
          <w:rFonts w:ascii="Times New Roman" w:eastAsia="Calibri" w:hAnsi="Times New Roman" w:cs="Times New Roman"/>
        </w:rPr>
        <w:t>lifted</w:t>
      </w:r>
      <w:r w:rsidR="00615818" w:rsidRPr="005115C1">
        <w:rPr>
          <w:rFonts w:ascii="Times New Roman" w:eastAsia="Calibri" w:hAnsi="Times New Roman" w:cs="Times New Roman"/>
        </w:rPr>
        <w:t xml:space="preserve"> temperatures above 100</w:t>
      </w:r>
      <w:r w:rsidR="001C4B8C" w:rsidRPr="005115C1">
        <w:rPr>
          <w:rFonts w:ascii="Times New Roman" w:hAnsi="Times New Roman" w:cs="Times New Roman"/>
          <w:color w:val="050707"/>
        </w:rPr>
        <w:t>°</w:t>
      </w:r>
      <w:r w:rsidR="00615818" w:rsidRPr="005115C1">
        <w:rPr>
          <w:rFonts w:ascii="Times New Roman" w:eastAsia="Calibri" w:hAnsi="Times New Roman" w:cs="Times New Roman"/>
        </w:rPr>
        <w:t xml:space="preserve">F for </w:t>
      </w:r>
      <w:r w:rsidR="005115C1" w:rsidRPr="005115C1">
        <w:rPr>
          <w:rFonts w:ascii="Times New Roman" w:eastAsia="Calibri" w:hAnsi="Times New Roman" w:cs="Times New Roman"/>
        </w:rPr>
        <w:t>nine</w:t>
      </w:r>
      <w:r w:rsidR="00615818" w:rsidRPr="005115C1">
        <w:rPr>
          <w:rFonts w:ascii="Times New Roman" w:eastAsia="Calibri" w:hAnsi="Times New Roman" w:cs="Times New Roman"/>
        </w:rPr>
        <w:t xml:space="preserve"> days</w:t>
      </w:r>
      <w:r w:rsidR="005115C1" w:rsidRPr="005115C1">
        <w:rPr>
          <w:rFonts w:ascii="Times New Roman" w:eastAsia="Calibri" w:hAnsi="Times New Roman" w:cs="Times New Roman"/>
        </w:rPr>
        <w:t xml:space="preserve"> straight</w:t>
      </w:r>
      <w:r w:rsidR="005115C1">
        <w:rPr>
          <w:rFonts w:ascii="Times New Roman" w:eastAsia="Calibri" w:hAnsi="Times New Roman" w:cs="Times New Roman"/>
        </w:rPr>
        <w:t xml:space="preserve"> this June</w:t>
      </w:r>
      <w:r w:rsidR="00615818" w:rsidRPr="005115C1">
        <w:rPr>
          <w:rFonts w:ascii="Times New Roman" w:eastAsia="Calibri" w:hAnsi="Times New Roman" w:cs="Times New Roman"/>
        </w:rPr>
        <w:t>.</w:t>
      </w:r>
      <w:r w:rsidR="00615818">
        <w:rPr>
          <w:rFonts w:ascii="Times New Roman" w:eastAsia="Calibri" w:hAnsi="Times New Roman" w:cs="Times New Roman"/>
        </w:rPr>
        <w:t xml:space="preserve">  </w:t>
      </w:r>
      <w:r w:rsidR="00A6653C">
        <w:rPr>
          <w:rFonts w:ascii="Times New Roman" w:eastAsia="Calibri" w:hAnsi="Times New Roman" w:cs="Times New Roman"/>
        </w:rPr>
        <w:t xml:space="preserve">These cause sustained loading levels that could stress a transformer or generator more than just the effect of extreme temperature alone.  </w:t>
      </w:r>
      <w:r w:rsidR="00615818">
        <w:rPr>
          <w:rFonts w:ascii="Times New Roman" w:eastAsia="Calibri" w:hAnsi="Times New Roman" w:cs="Times New Roman"/>
        </w:rPr>
        <w:t xml:space="preserve">We recommend that the Commission seek expert written advice from both meteorologists and transmission and generation asset specialists about whether this metric is appropriate or whether other </w:t>
      </w:r>
      <w:r w:rsidR="00A6653C">
        <w:rPr>
          <w:rFonts w:ascii="Times New Roman" w:eastAsia="Calibri" w:hAnsi="Times New Roman" w:cs="Times New Roman"/>
        </w:rPr>
        <w:t xml:space="preserve">sustained or episodic </w:t>
      </w:r>
      <w:r w:rsidR="00615818">
        <w:rPr>
          <w:rFonts w:ascii="Times New Roman" w:eastAsia="Calibri" w:hAnsi="Times New Roman" w:cs="Times New Roman"/>
        </w:rPr>
        <w:t xml:space="preserve">temperature </w:t>
      </w:r>
      <w:r w:rsidR="00A6653C">
        <w:rPr>
          <w:rFonts w:ascii="Times New Roman" w:eastAsia="Calibri" w:hAnsi="Times New Roman" w:cs="Times New Roman"/>
        </w:rPr>
        <w:t xml:space="preserve">or loading </w:t>
      </w:r>
      <w:r w:rsidR="00615818">
        <w:rPr>
          <w:rFonts w:ascii="Times New Roman" w:eastAsia="Calibri" w:hAnsi="Times New Roman" w:cs="Times New Roman"/>
        </w:rPr>
        <w:t xml:space="preserve">metrics might </w:t>
      </w:r>
      <w:r w:rsidR="001C4B8C">
        <w:rPr>
          <w:rFonts w:ascii="Times New Roman" w:eastAsia="Calibri" w:hAnsi="Times New Roman" w:cs="Times New Roman"/>
        </w:rPr>
        <w:t>serve as better benchmark</w:t>
      </w:r>
      <w:r w:rsidR="00A6653C">
        <w:rPr>
          <w:rFonts w:ascii="Times New Roman" w:eastAsia="Calibri" w:hAnsi="Times New Roman" w:cs="Times New Roman"/>
        </w:rPr>
        <w:t>s</w:t>
      </w:r>
      <w:r w:rsidR="001C4B8C">
        <w:rPr>
          <w:rFonts w:ascii="Times New Roman" w:eastAsia="Calibri" w:hAnsi="Times New Roman" w:cs="Times New Roman"/>
        </w:rPr>
        <w:t xml:space="preserve"> to prepare critical grid assets to perform under extreme temperatures.</w:t>
      </w:r>
    </w:p>
    <w:p w14:paraId="2D9FDA93" w14:textId="77777777" w:rsidR="00B10C32" w:rsidRDefault="00B10C32" w:rsidP="00B10C32">
      <w:pPr>
        <w:spacing w:line="480" w:lineRule="auto"/>
        <w:rPr>
          <w:rFonts w:ascii="Times New Roman" w:eastAsia="Calibri" w:hAnsi="Times New Roman" w:cs="Times New Roman"/>
        </w:rPr>
      </w:pPr>
      <w:r>
        <w:rPr>
          <w:rFonts w:ascii="Times New Roman" w:eastAsia="Calibri" w:hAnsi="Times New Roman" w:cs="Times New Roman"/>
          <w:u w:val="single"/>
        </w:rPr>
        <w:t xml:space="preserve">25.55(b)(9) and (f)(2) </w:t>
      </w:r>
      <w:r w:rsidRPr="00F11345">
        <w:rPr>
          <w:rFonts w:ascii="Times New Roman" w:eastAsia="Calibri" w:hAnsi="Times New Roman" w:cs="Times New Roman"/>
          <w:u w:val="single"/>
        </w:rPr>
        <w:t>Transmission facilities</w:t>
      </w:r>
    </w:p>
    <w:p w14:paraId="4DBF5415" w14:textId="74DA39CD" w:rsidR="00B10C32" w:rsidRDefault="00B10C32" w:rsidP="00B10C32">
      <w:pPr>
        <w:spacing w:line="480" w:lineRule="auto"/>
        <w:ind w:firstLine="720"/>
        <w:rPr>
          <w:rFonts w:ascii="Times New Roman" w:eastAsia="Calibri" w:hAnsi="Times New Roman" w:cs="Times New Roman"/>
        </w:rPr>
      </w:pPr>
      <w:r>
        <w:rPr>
          <w:rFonts w:ascii="Times New Roman" w:eastAsia="Calibri" w:hAnsi="Times New Roman" w:cs="Times New Roman"/>
        </w:rPr>
        <w:t>The proposed rule defines “transmission facility” as a transmission voltage element inside the fence of a substation or switching station.  Yet Texas S.B.3</w:t>
      </w:r>
      <w:r w:rsidR="0099431F">
        <w:rPr>
          <w:rFonts w:ascii="Times New Roman" w:eastAsia="Calibri" w:hAnsi="Times New Roman" w:cs="Times New Roman"/>
        </w:rPr>
        <w:t xml:space="preserve"> </w:t>
      </w:r>
      <w:r>
        <w:rPr>
          <w:rFonts w:ascii="Times New Roman" w:eastAsia="Calibri" w:hAnsi="Times New Roman" w:cs="Times New Roman"/>
        </w:rPr>
        <w:t>specifically strikes “generation” weatherization preparedness and broadens applicability to “power” weatherization preparedness; power includes transmission facilities.  Full capability and continuity of transmission line operations – beyond substation equipment -- are essential to the reliable operation and full delivery capability of the ERCOT power system.  Transmission lines are as vulnerable to extreme weather as transformers and should therefore be included in this rule.</w:t>
      </w:r>
    </w:p>
    <w:p w14:paraId="40098AD0" w14:textId="776A45E3" w:rsidR="00B10C32" w:rsidRDefault="00B10C32" w:rsidP="00B10C32">
      <w:pPr>
        <w:spacing w:line="480" w:lineRule="auto"/>
        <w:ind w:firstLine="720"/>
        <w:rPr>
          <w:rFonts w:ascii="Times New Roman" w:eastAsia="Calibri" w:hAnsi="Times New Roman" w:cs="Times New Roman"/>
        </w:rPr>
      </w:pPr>
      <w:r>
        <w:rPr>
          <w:rFonts w:ascii="Times New Roman" w:eastAsia="Calibri" w:hAnsi="Times New Roman" w:cs="Times New Roman"/>
        </w:rPr>
        <w:t xml:space="preserve">The effects of extreme heat on transmission assets </w:t>
      </w:r>
      <w:r w:rsidR="005C11D5">
        <w:rPr>
          <w:rFonts w:ascii="Times New Roman" w:eastAsia="Calibri" w:hAnsi="Times New Roman" w:cs="Times New Roman"/>
        </w:rPr>
        <w:t>are</w:t>
      </w:r>
      <w:r>
        <w:rPr>
          <w:rFonts w:ascii="Times New Roman" w:eastAsia="Calibri" w:hAnsi="Times New Roman" w:cs="Times New Roman"/>
        </w:rPr>
        <w:t xml:space="preserve"> well-documented.  Higher temperatures increase resistance and line losses in conductors, reducing the line’s carrying </w:t>
      </w:r>
      <w:r>
        <w:rPr>
          <w:rFonts w:ascii="Times New Roman" w:eastAsia="Calibri" w:hAnsi="Times New Roman" w:cs="Times New Roman"/>
        </w:rPr>
        <w:lastRenderedPageBreak/>
        <w:t>capacity at the same time that higher temperatures increase customer load.</w:t>
      </w:r>
      <w:r>
        <w:rPr>
          <w:rStyle w:val="FootnoteReference"/>
          <w:rFonts w:ascii="Times New Roman" w:eastAsia="Calibri" w:hAnsi="Times New Roman" w:cs="Times New Roman"/>
        </w:rPr>
        <w:footnoteReference w:id="4"/>
      </w:r>
      <w:r>
        <w:rPr>
          <w:rFonts w:ascii="Times New Roman" w:eastAsia="Calibri" w:hAnsi="Times New Roman" w:cs="Times New Roman"/>
        </w:rPr>
        <w:t xml:space="preserve">  </w:t>
      </w:r>
      <w:proofErr w:type="spellStart"/>
      <w:r>
        <w:rPr>
          <w:rFonts w:ascii="Times New Roman" w:eastAsia="Calibri" w:hAnsi="Times New Roman" w:cs="Times New Roman"/>
        </w:rPr>
        <w:t>Bartos</w:t>
      </w:r>
      <w:proofErr w:type="spellEnd"/>
      <w:r>
        <w:rPr>
          <w:rFonts w:ascii="Times New Roman" w:eastAsia="Calibri" w:hAnsi="Times New Roman" w:cs="Times New Roman"/>
        </w:rPr>
        <w:t xml:space="preserve"> et al. estimate that climate change-attributable capacity reductions to transmission lines could reduce summertime transmission capacity by 1.9% to 5.8% relative to the 1990-2010 reference case.</w:t>
      </w:r>
      <w:r>
        <w:rPr>
          <w:rStyle w:val="FootnoteReference"/>
          <w:rFonts w:ascii="Times New Roman" w:eastAsia="Calibri" w:hAnsi="Times New Roman" w:cs="Times New Roman"/>
        </w:rPr>
        <w:footnoteReference w:id="5"/>
      </w:r>
      <w:r>
        <w:rPr>
          <w:rFonts w:ascii="Times New Roman" w:eastAsia="Calibri" w:hAnsi="Times New Roman" w:cs="Times New Roman"/>
        </w:rPr>
        <w:t xml:space="preserve">  High temperature-driven transmission ampacity reductions would exacerbate transmission thermal and voltage limits that tighten transmission constraints, reducing deliverability and raising congestion costs when customer demand is highest.</w:t>
      </w:r>
      <w:r w:rsidR="003732A5">
        <w:rPr>
          <w:rFonts w:ascii="Times New Roman" w:eastAsia="Calibri" w:hAnsi="Times New Roman" w:cs="Times New Roman"/>
        </w:rPr>
        <w:t xml:space="preserve">  These transmission effects are summarized in </w:t>
      </w:r>
      <w:proofErr w:type="spellStart"/>
      <w:r w:rsidR="003732A5">
        <w:rPr>
          <w:rFonts w:ascii="Times New Roman" w:eastAsia="Calibri" w:hAnsi="Times New Roman" w:cs="Times New Roman"/>
        </w:rPr>
        <w:t>ConEdison’s</w:t>
      </w:r>
      <w:proofErr w:type="spellEnd"/>
      <w:r w:rsidR="003732A5">
        <w:rPr>
          <w:rFonts w:ascii="Times New Roman" w:eastAsia="Calibri" w:hAnsi="Times New Roman" w:cs="Times New Roman"/>
        </w:rPr>
        <w:t xml:space="preserve"> “Climate Change Vulnerability Study,”</w:t>
      </w:r>
      <w:r w:rsidR="003732A5">
        <w:rPr>
          <w:rStyle w:val="FootnoteReference"/>
          <w:rFonts w:ascii="Times New Roman" w:eastAsia="Calibri" w:hAnsi="Times New Roman" w:cs="Times New Roman"/>
        </w:rPr>
        <w:footnoteReference w:id="6"/>
      </w:r>
      <w:r w:rsidR="003732A5">
        <w:rPr>
          <w:rFonts w:ascii="Times New Roman" w:eastAsia="Calibri" w:hAnsi="Times New Roman" w:cs="Times New Roman"/>
        </w:rPr>
        <w:t xml:space="preserve"> as shown below (p.40):</w:t>
      </w:r>
    </w:p>
    <w:p w14:paraId="7FA3DD13" w14:textId="7B49F7DA" w:rsidR="00443117" w:rsidRDefault="003732A5" w:rsidP="001C4B8C">
      <w:pPr>
        <w:spacing w:line="480" w:lineRule="auto"/>
        <w:ind w:firstLine="720"/>
        <w:rPr>
          <w:rFonts w:ascii="Times New Roman" w:eastAsia="Calibri" w:hAnsi="Times New Roman" w:cs="Times New Roman"/>
        </w:rPr>
      </w:pPr>
      <w:r>
        <w:rPr>
          <w:rFonts w:ascii="Times New Roman" w:eastAsia="Calibri" w:hAnsi="Times New Roman" w:cs="Times New Roman"/>
          <w:noProof/>
        </w:rPr>
        <w:drawing>
          <wp:inline distT="0" distB="0" distL="0" distR="0" wp14:anchorId="6FE77976" wp14:editId="2AD5AAD6">
            <wp:extent cx="5266267" cy="3432638"/>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83437" cy="3443830"/>
                    </a:xfrm>
                    <a:prstGeom prst="rect">
                      <a:avLst/>
                    </a:prstGeom>
                  </pic:spPr>
                </pic:pic>
              </a:graphicData>
            </a:graphic>
          </wp:inline>
        </w:drawing>
      </w:r>
    </w:p>
    <w:p w14:paraId="5FDCEBEA" w14:textId="04D6E1A6" w:rsidR="00443117" w:rsidRPr="00443117" w:rsidRDefault="00443117" w:rsidP="00443117">
      <w:pPr>
        <w:spacing w:line="480" w:lineRule="auto"/>
        <w:rPr>
          <w:rFonts w:ascii="Times New Roman" w:eastAsia="Calibri" w:hAnsi="Times New Roman" w:cs="Times New Roman"/>
          <w:u w:val="single"/>
        </w:rPr>
      </w:pPr>
      <w:r w:rsidRPr="00443117">
        <w:rPr>
          <w:rFonts w:ascii="Times New Roman" w:eastAsia="Calibri" w:hAnsi="Times New Roman" w:cs="Times New Roman"/>
          <w:u w:val="single"/>
        </w:rPr>
        <w:t>25.55(f)(2</w:t>
      </w:r>
      <w:proofErr w:type="gramStart"/>
      <w:r w:rsidRPr="00443117">
        <w:rPr>
          <w:rFonts w:ascii="Times New Roman" w:eastAsia="Calibri" w:hAnsi="Times New Roman" w:cs="Times New Roman"/>
          <w:u w:val="single"/>
        </w:rPr>
        <w:t>)  Summer</w:t>
      </w:r>
      <w:proofErr w:type="gramEnd"/>
      <w:r w:rsidRPr="00443117">
        <w:rPr>
          <w:rFonts w:ascii="Times New Roman" w:eastAsia="Calibri" w:hAnsi="Times New Roman" w:cs="Times New Roman"/>
          <w:u w:val="single"/>
        </w:rPr>
        <w:t xml:space="preserve"> season preparations for a TSP</w:t>
      </w:r>
    </w:p>
    <w:p w14:paraId="5A8E31CC" w14:textId="426F10C0" w:rsidR="00B10C32" w:rsidRDefault="00B10C32" w:rsidP="00CC4E47">
      <w:pPr>
        <w:spacing w:line="480" w:lineRule="auto"/>
        <w:ind w:firstLine="720"/>
        <w:rPr>
          <w:rFonts w:ascii="Times New Roman" w:eastAsia="Calibri" w:hAnsi="Times New Roman" w:cs="Times New Roman"/>
        </w:rPr>
      </w:pPr>
      <w:r>
        <w:rPr>
          <w:rFonts w:ascii="Times New Roman" w:eastAsia="Calibri" w:hAnsi="Times New Roman" w:cs="Times New Roman"/>
        </w:rPr>
        <w:t xml:space="preserve">The proposed weatherization rule focuses on the capability of substation equipment to perform in extreme cold and hot conditions, because hotter temperatures reduce transformer peak </w:t>
      </w:r>
      <w:r>
        <w:rPr>
          <w:rFonts w:ascii="Times New Roman" w:eastAsia="Calibri" w:hAnsi="Times New Roman" w:cs="Times New Roman"/>
        </w:rPr>
        <w:lastRenderedPageBreak/>
        <w:t>load capacity.  But higher temperatures and higher loads also reduce the expected lifespan of substation and distribution transformers.</w:t>
      </w:r>
      <w:r>
        <w:rPr>
          <w:rStyle w:val="FootnoteReference"/>
          <w:rFonts w:ascii="Times New Roman" w:eastAsia="Calibri" w:hAnsi="Times New Roman" w:cs="Times New Roman"/>
        </w:rPr>
        <w:footnoteReference w:id="7"/>
      </w:r>
      <w:r>
        <w:rPr>
          <w:rFonts w:ascii="Times New Roman" w:eastAsia="Calibri" w:hAnsi="Times New Roman" w:cs="Times New Roman"/>
        </w:rPr>
        <w:t xml:space="preserve">  The average age of transformers on the grid today is 35 years, near the end of their typical lifecycle;</w:t>
      </w:r>
      <w:r>
        <w:rPr>
          <w:rStyle w:val="FootnoteReference"/>
          <w:rFonts w:ascii="Times New Roman" w:eastAsia="Calibri" w:hAnsi="Times New Roman" w:cs="Times New Roman"/>
        </w:rPr>
        <w:footnoteReference w:id="8"/>
      </w:r>
      <w:r>
        <w:rPr>
          <w:rFonts w:ascii="Times New Roman" w:eastAsia="Calibri" w:hAnsi="Times New Roman" w:cs="Times New Roman"/>
        </w:rPr>
        <w:t xml:space="preserve"> higher loading and ambient heat cause thermal degradation to transformer oil and insulation.</w:t>
      </w:r>
      <w:r>
        <w:rPr>
          <w:rStyle w:val="FootnoteReference"/>
          <w:rFonts w:ascii="Times New Roman" w:eastAsia="Calibri" w:hAnsi="Times New Roman" w:cs="Times New Roman"/>
        </w:rPr>
        <w:footnoteReference w:id="9"/>
      </w:r>
      <w:r w:rsidR="00CC4E47">
        <w:rPr>
          <w:rFonts w:ascii="Times New Roman" w:eastAsia="Calibri" w:hAnsi="Times New Roman" w:cs="Times New Roman"/>
        </w:rPr>
        <w:t xml:space="preserve"> </w:t>
      </w:r>
      <w:r w:rsidR="00CC4E47">
        <w:rPr>
          <w:rStyle w:val="FootnoteReference"/>
          <w:rFonts w:ascii="Times New Roman" w:eastAsia="Calibri" w:hAnsi="Times New Roman" w:cs="Times New Roman"/>
        </w:rPr>
        <w:footnoteReference w:id="10"/>
      </w:r>
      <w:r>
        <w:rPr>
          <w:rFonts w:ascii="Times New Roman" w:eastAsia="Calibri" w:hAnsi="Times New Roman" w:cs="Times New Roman"/>
        </w:rPr>
        <w:t xml:space="preserve">  The proposed rule (in (f)(2)(A)) would require inspection and cleaning of transformer coolers, but ignores the age and condition of the transformer, the level of prior heat and loading stresses it has already experienced</w:t>
      </w:r>
      <w:r w:rsidR="00CC4E47">
        <w:rPr>
          <w:rFonts w:ascii="Times New Roman" w:eastAsia="Calibri" w:hAnsi="Times New Roman" w:cs="Times New Roman"/>
        </w:rPr>
        <w:t>,</w:t>
      </w:r>
      <w:r>
        <w:rPr>
          <w:rStyle w:val="FootnoteReference"/>
          <w:rFonts w:ascii="Times New Roman" w:eastAsia="Calibri" w:hAnsi="Times New Roman" w:cs="Times New Roman"/>
        </w:rPr>
        <w:footnoteReference w:id="11"/>
      </w:r>
      <w:r>
        <w:rPr>
          <w:rFonts w:ascii="Times New Roman" w:eastAsia="Calibri" w:hAnsi="Times New Roman" w:cs="Times New Roman"/>
        </w:rPr>
        <w:t xml:space="preserve"> and whether it has sufficient lifespan and capability to continue performing under faulted or high temperature and high load conditions in the summer ahead.  For these reasons, the proposed rule should be modified to consider </w:t>
      </w:r>
      <w:r w:rsidR="007959C9">
        <w:rPr>
          <w:rFonts w:ascii="Times New Roman" w:eastAsia="Calibri" w:hAnsi="Times New Roman" w:cs="Times New Roman"/>
        </w:rPr>
        <w:t xml:space="preserve">high voltage </w:t>
      </w:r>
      <w:r>
        <w:rPr>
          <w:rFonts w:ascii="Times New Roman" w:eastAsia="Calibri" w:hAnsi="Times New Roman" w:cs="Times New Roman"/>
        </w:rPr>
        <w:t xml:space="preserve">transformer readiness for extreme heat as a function of its age, </w:t>
      </w:r>
      <w:proofErr w:type="gramStart"/>
      <w:r>
        <w:rPr>
          <w:rFonts w:ascii="Times New Roman" w:eastAsia="Calibri" w:hAnsi="Times New Roman" w:cs="Times New Roman"/>
        </w:rPr>
        <w:t>condition</w:t>
      </w:r>
      <w:proofErr w:type="gramEnd"/>
      <w:r>
        <w:rPr>
          <w:rFonts w:ascii="Times New Roman" w:eastAsia="Calibri" w:hAnsi="Times New Roman" w:cs="Times New Roman"/>
        </w:rPr>
        <w:t xml:space="preserve"> and remaining lifespan, not just </w:t>
      </w:r>
      <w:r w:rsidR="007959C9">
        <w:rPr>
          <w:rFonts w:ascii="Times New Roman" w:eastAsia="Calibri" w:hAnsi="Times New Roman" w:cs="Times New Roman"/>
        </w:rPr>
        <w:t>the</w:t>
      </w:r>
      <w:r>
        <w:rPr>
          <w:rFonts w:ascii="Times New Roman" w:eastAsia="Calibri" w:hAnsi="Times New Roman" w:cs="Times New Roman"/>
        </w:rPr>
        <w:t xml:space="preserve"> readiness</w:t>
      </w:r>
      <w:r w:rsidR="007959C9">
        <w:rPr>
          <w:rFonts w:ascii="Times New Roman" w:eastAsia="Calibri" w:hAnsi="Times New Roman" w:cs="Times New Roman"/>
        </w:rPr>
        <w:t xml:space="preserve"> of its cooling equipment</w:t>
      </w:r>
      <w:r>
        <w:rPr>
          <w:rFonts w:ascii="Times New Roman" w:eastAsia="Calibri" w:hAnsi="Times New Roman" w:cs="Times New Roman"/>
        </w:rPr>
        <w:t>.</w:t>
      </w:r>
    </w:p>
    <w:p w14:paraId="07768E56" w14:textId="60F10E83" w:rsidR="00EF27D9" w:rsidRPr="009D2E93" w:rsidRDefault="00EF27D9" w:rsidP="00CC4E47">
      <w:pPr>
        <w:spacing w:line="480" w:lineRule="auto"/>
        <w:ind w:firstLine="720"/>
        <w:rPr>
          <w:rFonts w:ascii="Times New Roman" w:eastAsia="Calibri" w:hAnsi="Times New Roman" w:cs="Times New Roman"/>
        </w:rPr>
      </w:pPr>
      <w:r>
        <w:rPr>
          <w:rFonts w:ascii="Times New Roman" w:eastAsia="Calibri" w:hAnsi="Times New Roman" w:cs="Times New Roman"/>
        </w:rPr>
        <w:t xml:space="preserve">In conjunction with the above requirement, the Commission should also direct the Texas transmission providers to report on their plans for spare transformers if increasing heat and load levels or some human attack </w:t>
      </w:r>
      <w:r w:rsidR="00742347">
        <w:rPr>
          <w:rFonts w:ascii="Times New Roman" w:eastAsia="Calibri" w:hAnsi="Times New Roman" w:cs="Times New Roman"/>
        </w:rPr>
        <w:t xml:space="preserve">causes one or more transformers to fail and require replacement.  </w:t>
      </w:r>
    </w:p>
    <w:p w14:paraId="73A38190" w14:textId="24CBBF0C" w:rsidR="00CC4E47" w:rsidRPr="006131C2" w:rsidRDefault="00CC4E47" w:rsidP="00CC4E47">
      <w:pPr>
        <w:spacing w:line="480" w:lineRule="auto"/>
        <w:rPr>
          <w:rFonts w:ascii="Times New Roman" w:eastAsia="Calibri" w:hAnsi="Times New Roman" w:cs="Times New Roman"/>
          <w:u w:val="single"/>
        </w:rPr>
      </w:pPr>
      <w:r w:rsidRPr="006131C2">
        <w:rPr>
          <w:rFonts w:ascii="Times New Roman" w:eastAsia="Calibri" w:hAnsi="Times New Roman" w:cs="Times New Roman"/>
          <w:u w:val="single"/>
        </w:rPr>
        <w:t xml:space="preserve">Federal </w:t>
      </w:r>
      <w:r w:rsidR="006131C2" w:rsidRPr="006131C2">
        <w:rPr>
          <w:rFonts w:ascii="Times New Roman" w:eastAsia="Calibri" w:hAnsi="Times New Roman" w:cs="Times New Roman"/>
          <w:u w:val="single"/>
        </w:rPr>
        <w:t>initiative on climate change</w:t>
      </w:r>
      <w:r w:rsidRPr="006131C2">
        <w:rPr>
          <w:rFonts w:ascii="Times New Roman" w:eastAsia="Calibri" w:hAnsi="Times New Roman" w:cs="Times New Roman"/>
          <w:u w:val="single"/>
        </w:rPr>
        <w:t xml:space="preserve"> </w:t>
      </w:r>
      <w:r w:rsidR="006131C2" w:rsidRPr="006131C2">
        <w:rPr>
          <w:rFonts w:ascii="Times New Roman" w:eastAsia="Calibri" w:hAnsi="Times New Roman" w:cs="Times New Roman"/>
          <w:u w:val="single"/>
        </w:rPr>
        <w:t>analysis</w:t>
      </w:r>
    </w:p>
    <w:p w14:paraId="31B0B500" w14:textId="09CC6B42" w:rsidR="00625105" w:rsidRDefault="00625105" w:rsidP="009D2E93">
      <w:pPr>
        <w:spacing w:line="480" w:lineRule="auto"/>
        <w:ind w:firstLine="720"/>
        <w:rPr>
          <w:rFonts w:ascii="Times New Roman" w:hAnsi="Times New Roman" w:cs="Times New Roman"/>
          <w:szCs w:val="26"/>
        </w:rPr>
      </w:pPr>
      <w:r w:rsidRPr="009D2E93">
        <w:rPr>
          <w:rFonts w:ascii="Times New Roman" w:eastAsia="Calibri" w:hAnsi="Times New Roman" w:cs="Times New Roman"/>
        </w:rPr>
        <w:t xml:space="preserve">On June 16, 2022, the Federal Energy Regulatory Commission issued </w:t>
      </w:r>
      <w:r w:rsidR="00962B9E" w:rsidRPr="009D2E93">
        <w:rPr>
          <w:rFonts w:ascii="Times New Roman" w:eastAsia="Calibri" w:hAnsi="Times New Roman" w:cs="Times New Roman"/>
        </w:rPr>
        <w:t xml:space="preserve">two Notices of Proposed Rulemaking on extreme weather -- </w:t>
      </w:r>
      <w:r w:rsidRPr="009D2E93">
        <w:rPr>
          <w:rFonts w:ascii="Times New Roman" w:hAnsi="Times New Roman" w:cs="Times New Roman"/>
        </w:rPr>
        <w:t xml:space="preserve">Docket No. </w:t>
      </w:r>
      <w:hyperlink r:id="rId11" w:history="1">
        <w:r w:rsidRPr="009D2E93">
          <w:rPr>
            <w:rStyle w:val="Hyperlink"/>
            <w:rFonts w:ascii="Times New Roman" w:hAnsi="Times New Roman" w:cs="Times New Roman"/>
          </w:rPr>
          <w:t>RM22-10-000,</w:t>
        </w:r>
        <w:bookmarkStart w:id="0" w:name="_Hlk105061434"/>
        <w:r w:rsidR="00962B9E" w:rsidRPr="009D2E93">
          <w:rPr>
            <w:rStyle w:val="Hyperlink"/>
            <w:rFonts w:ascii="Times New Roman" w:hAnsi="Times New Roman" w:cs="Times New Roman"/>
          </w:rPr>
          <w:t xml:space="preserve"> </w:t>
        </w:r>
        <w:r w:rsidRPr="009D2E93">
          <w:rPr>
            <w:rStyle w:val="Hyperlink"/>
            <w:rFonts w:ascii="Times New Roman" w:hAnsi="Times New Roman" w:cs="Times New Roman"/>
            <w:szCs w:val="26"/>
          </w:rPr>
          <w:t>Transmission System Planning Performance Requirements for Extreme Weather</w:t>
        </w:r>
      </w:hyperlink>
      <w:r w:rsidRPr="009D2E93">
        <w:rPr>
          <w:rFonts w:ascii="Times New Roman" w:hAnsi="Times New Roman" w:cs="Times New Roman"/>
          <w:szCs w:val="26"/>
        </w:rPr>
        <w:t>,</w:t>
      </w:r>
      <w:r w:rsidR="00194778">
        <w:rPr>
          <w:rFonts w:ascii="Times New Roman" w:hAnsi="Times New Roman" w:cs="Times New Roman"/>
          <w:szCs w:val="26"/>
        </w:rPr>
        <w:t xml:space="preserve"> and</w:t>
      </w:r>
      <w:r w:rsidRPr="009D2E93">
        <w:rPr>
          <w:rFonts w:ascii="Times New Roman" w:hAnsi="Times New Roman" w:cs="Times New Roman"/>
          <w:szCs w:val="26"/>
        </w:rPr>
        <w:t xml:space="preserve"> </w:t>
      </w:r>
      <w:hyperlink r:id="rId12" w:history="1">
        <w:r w:rsidR="00962B9E" w:rsidRPr="009D2E93">
          <w:rPr>
            <w:rStyle w:val="Hyperlink"/>
            <w:rFonts w:ascii="Times New Roman" w:hAnsi="Times New Roman" w:cs="Times New Roman"/>
            <w:szCs w:val="26"/>
          </w:rPr>
          <w:t>Docket No. RM22-16-000, One-Time Reports on Extreme Weather Vulnerability Assessments</w:t>
        </w:r>
      </w:hyperlink>
      <w:r w:rsidR="00962B9E" w:rsidRPr="009D2E93">
        <w:rPr>
          <w:rFonts w:ascii="Times New Roman" w:hAnsi="Times New Roman" w:cs="Times New Roman"/>
          <w:szCs w:val="26"/>
        </w:rPr>
        <w:t xml:space="preserve">.  </w:t>
      </w:r>
      <w:r w:rsidR="00791C3B">
        <w:rPr>
          <w:rFonts w:ascii="Times New Roman" w:hAnsi="Times New Roman" w:cs="Times New Roman"/>
          <w:szCs w:val="26"/>
        </w:rPr>
        <w:t xml:space="preserve">NERC has identified extreme </w:t>
      </w:r>
      <w:r w:rsidR="00791C3B">
        <w:rPr>
          <w:rFonts w:ascii="Times New Roman" w:hAnsi="Times New Roman" w:cs="Times New Roman"/>
          <w:szCs w:val="26"/>
        </w:rPr>
        <w:lastRenderedPageBreak/>
        <w:t xml:space="preserve">weather as a top </w:t>
      </w:r>
      <w:r w:rsidR="003D1EB8">
        <w:rPr>
          <w:rFonts w:ascii="Times New Roman" w:hAnsi="Times New Roman" w:cs="Times New Roman"/>
          <w:szCs w:val="26"/>
        </w:rPr>
        <w:t xml:space="preserve">power system </w:t>
      </w:r>
      <w:r w:rsidR="00791C3B">
        <w:rPr>
          <w:rFonts w:ascii="Times New Roman" w:hAnsi="Times New Roman" w:cs="Times New Roman"/>
          <w:szCs w:val="26"/>
        </w:rPr>
        <w:t>risk, stating that, “wide-area and long duration extreme weather events driven by climate change threaten reliability over the long term.”</w:t>
      </w:r>
      <w:r w:rsidR="00791C3B">
        <w:rPr>
          <w:rStyle w:val="FootnoteReference"/>
          <w:rFonts w:ascii="Times New Roman" w:hAnsi="Times New Roman" w:cs="Times New Roman"/>
          <w:szCs w:val="26"/>
        </w:rPr>
        <w:footnoteReference w:id="12"/>
      </w:r>
      <w:r w:rsidR="00791C3B">
        <w:rPr>
          <w:rFonts w:ascii="Times New Roman" w:hAnsi="Times New Roman" w:cs="Times New Roman"/>
          <w:szCs w:val="26"/>
        </w:rPr>
        <w:t xml:space="preserve">  </w:t>
      </w:r>
      <w:r w:rsidR="00962B9E" w:rsidRPr="009D2E93">
        <w:rPr>
          <w:rFonts w:ascii="Times New Roman" w:hAnsi="Times New Roman" w:cs="Times New Roman"/>
          <w:szCs w:val="26"/>
        </w:rPr>
        <w:t xml:space="preserve">FERC recognizes that climate change is creating more frequent extreme weather events that threaten the grid and human life, </w:t>
      </w:r>
      <w:r w:rsidR="009D2E93" w:rsidRPr="009D2E93">
        <w:rPr>
          <w:rFonts w:ascii="Times New Roman" w:hAnsi="Times New Roman" w:cs="Times New Roman"/>
          <w:szCs w:val="26"/>
        </w:rPr>
        <w:t>and that planning practices and asset management should change to understand these threats, assess bulk power system vulnerabilities to extreme weather, and evaluate possible options to reduce the likelihood or mitigate the consequences of extreme events.</w:t>
      </w:r>
      <w:r w:rsidR="00262EC9">
        <w:rPr>
          <w:rFonts w:ascii="Times New Roman" w:hAnsi="Times New Roman" w:cs="Times New Roman"/>
          <w:szCs w:val="26"/>
        </w:rPr>
        <w:t xml:space="preserve">  </w:t>
      </w:r>
      <w:r w:rsidR="00FC43CE">
        <w:rPr>
          <w:rFonts w:ascii="Times New Roman" w:hAnsi="Times New Roman" w:cs="Times New Roman"/>
          <w:szCs w:val="26"/>
        </w:rPr>
        <w:t xml:space="preserve">The </w:t>
      </w:r>
      <w:r w:rsidR="00194778">
        <w:rPr>
          <w:rFonts w:ascii="Times New Roman" w:hAnsi="Times New Roman" w:cs="Times New Roman"/>
          <w:szCs w:val="26"/>
        </w:rPr>
        <w:t xml:space="preserve">Vulnerability Assessments NOPR would require all transmission owners and providers to project future extreme weather conditions, inventory the vulnerability of all bulk power system equipment to those weather conditions, and identify mitigation measures for those assets and vulnerabilities.  </w:t>
      </w:r>
      <w:r w:rsidR="00194778" w:rsidRPr="005115C1">
        <w:rPr>
          <w:rFonts w:ascii="Times New Roman" w:hAnsi="Times New Roman" w:cs="Times New Roman"/>
          <w:szCs w:val="26"/>
        </w:rPr>
        <w:t>The Planning Performance Requirements NOPR</w:t>
      </w:r>
      <w:r w:rsidR="005115C1">
        <w:rPr>
          <w:rFonts w:ascii="Times New Roman" w:hAnsi="Times New Roman" w:cs="Times New Roman"/>
          <w:szCs w:val="26"/>
        </w:rPr>
        <w:t xml:space="preserve"> would require NERC to modify the transmission planning reliability standard (TPL-001-5.1) to address the impacts of extreme heat and cold weather events on the reliable operation of the bulk power system.</w:t>
      </w:r>
    </w:p>
    <w:p w14:paraId="62E0EF96" w14:textId="03E88536" w:rsidR="00262EC9" w:rsidRDefault="00262EC9" w:rsidP="009D2E93">
      <w:pPr>
        <w:spacing w:line="480" w:lineRule="auto"/>
        <w:ind w:firstLine="720"/>
        <w:rPr>
          <w:rFonts w:ascii="Times New Roman" w:hAnsi="Times New Roman" w:cs="Times New Roman"/>
          <w:szCs w:val="26"/>
        </w:rPr>
      </w:pPr>
      <w:r>
        <w:rPr>
          <w:rFonts w:ascii="Times New Roman" w:hAnsi="Times New Roman" w:cs="Times New Roman"/>
          <w:szCs w:val="26"/>
        </w:rPr>
        <w:t>There are several notable distinctions between the FERC NOPR and this Texas proposed rule:</w:t>
      </w:r>
    </w:p>
    <w:p w14:paraId="0A4B119B" w14:textId="21466BE5" w:rsidR="00262EC9" w:rsidRPr="00262EC9" w:rsidRDefault="00262EC9" w:rsidP="00262EC9">
      <w:pPr>
        <w:pStyle w:val="ListParagraph"/>
        <w:numPr>
          <w:ilvl w:val="0"/>
          <w:numId w:val="14"/>
        </w:numPr>
        <w:rPr>
          <w:rFonts w:ascii="Times New Roman" w:hAnsi="Times New Roman" w:cs="Times New Roman"/>
        </w:rPr>
      </w:pPr>
      <w:r w:rsidRPr="00262EC9">
        <w:rPr>
          <w:rFonts w:ascii="Times New Roman" w:hAnsi="Times New Roman" w:cs="Times New Roman"/>
          <w:szCs w:val="26"/>
        </w:rPr>
        <w:t>FERC a</w:t>
      </w:r>
      <w:r>
        <w:rPr>
          <w:rFonts w:ascii="Times New Roman" w:hAnsi="Times New Roman" w:cs="Times New Roman"/>
          <w:szCs w:val="26"/>
        </w:rPr>
        <w:t>cknowledges that due to climate change, historical weather is no guide to future events.</w:t>
      </w:r>
      <w:r w:rsidR="006449D8">
        <w:rPr>
          <w:rFonts w:ascii="Times New Roman" w:hAnsi="Times New Roman" w:cs="Times New Roman"/>
          <w:szCs w:val="26"/>
        </w:rPr>
        <w:t xml:space="preserve">  </w:t>
      </w:r>
      <w:r w:rsidR="00FB13D8">
        <w:rPr>
          <w:rFonts w:ascii="Times New Roman" w:hAnsi="Times New Roman" w:cs="Times New Roman"/>
          <w:szCs w:val="26"/>
        </w:rPr>
        <w:t xml:space="preserve">FERC observes that recent events such as Winter Storm Uri and extreme heat waves have significantly increased demand and grid operating challenges, and such events appear more likely to occur with potential for widespread power outages in the future.  </w:t>
      </w:r>
      <w:r w:rsidR="006449D8">
        <w:rPr>
          <w:rFonts w:ascii="Times New Roman" w:hAnsi="Times New Roman" w:cs="Times New Roman"/>
          <w:szCs w:val="26"/>
        </w:rPr>
        <w:t>Therefore, FERC’s draft rule would require NERC and the industry to develop benchmark extreme weather event and condition planning cases based on both historical and future meteorological projections.</w:t>
      </w:r>
    </w:p>
    <w:p w14:paraId="16BCCDBE" w14:textId="6CDF0ED7" w:rsidR="00262EC9" w:rsidRPr="00262EC9" w:rsidRDefault="00262EC9" w:rsidP="00115E86">
      <w:pPr>
        <w:pStyle w:val="ListParagraph"/>
        <w:numPr>
          <w:ilvl w:val="0"/>
          <w:numId w:val="14"/>
        </w:numPr>
        <w:rPr>
          <w:rFonts w:ascii="Times New Roman" w:hAnsi="Times New Roman" w:cs="Times New Roman"/>
        </w:rPr>
      </w:pPr>
      <w:r>
        <w:rPr>
          <w:rFonts w:ascii="Times New Roman" w:hAnsi="Times New Roman" w:cs="Times New Roman"/>
          <w:szCs w:val="26"/>
        </w:rPr>
        <w:t xml:space="preserve">The FERC NOPRs do not limit extreme weather events to heat and cold events, but also require attention to droughts, major storms, </w:t>
      </w:r>
      <w:proofErr w:type="gramStart"/>
      <w:r>
        <w:rPr>
          <w:rFonts w:ascii="Times New Roman" w:hAnsi="Times New Roman" w:cs="Times New Roman"/>
          <w:szCs w:val="26"/>
        </w:rPr>
        <w:t>flooding</w:t>
      </w:r>
      <w:proofErr w:type="gramEnd"/>
      <w:r>
        <w:rPr>
          <w:rFonts w:ascii="Times New Roman" w:hAnsi="Times New Roman" w:cs="Times New Roman"/>
          <w:szCs w:val="26"/>
        </w:rPr>
        <w:t xml:space="preserve"> and other major weather threats. </w:t>
      </w:r>
    </w:p>
    <w:p w14:paraId="44493A74" w14:textId="64D245E0" w:rsidR="00262EC9" w:rsidRDefault="006449D8" w:rsidP="00115E86">
      <w:pPr>
        <w:pStyle w:val="ListParagraph"/>
        <w:numPr>
          <w:ilvl w:val="0"/>
          <w:numId w:val="14"/>
        </w:numPr>
        <w:rPr>
          <w:rFonts w:ascii="Times New Roman" w:hAnsi="Times New Roman" w:cs="Times New Roman"/>
        </w:rPr>
      </w:pPr>
      <w:r>
        <w:rPr>
          <w:rFonts w:ascii="Times New Roman" w:hAnsi="Times New Roman" w:cs="Times New Roman"/>
        </w:rPr>
        <w:t>The FERC NOPRs do not limit transmission facilities to substation assets, but explicitly include high-voltage lines in the assets to be evaluated.</w:t>
      </w:r>
    </w:p>
    <w:p w14:paraId="71CF8953" w14:textId="4197FE02" w:rsidR="003D1EB8" w:rsidRDefault="003D1EB8" w:rsidP="003D1EB8">
      <w:pPr>
        <w:rPr>
          <w:rFonts w:ascii="Times New Roman" w:hAnsi="Times New Roman" w:cs="Times New Roman"/>
        </w:rPr>
      </w:pPr>
    </w:p>
    <w:p w14:paraId="57B51C6B" w14:textId="77777777" w:rsidR="003D1EB8" w:rsidRDefault="003D1EB8" w:rsidP="003D1EB8">
      <w:pPr>
        <w:spacing w:line="480" w:lineRule="auto"/>
        <w:rPr>
          <w:rFonts w:ascii="Times New Roman" w:eastAsia="Calibri" w:hAnsi="Times New Roman" w:cs="Times New Roman"/>
        </w:rPr>
      </w:pPr>
      <w:r>
        <w:rPr>
          <w:rFonts w:ascii="Times New Roman" w:eastAsia="Calibri" w:hAnsi="Times New Roman" w:cs="Times New Roman"/>
        </w:rPr>
        <w:t>The PUCT should emulate these provisions (and more) of the FERC proposals.</w:t>
      </w:r>
    </w:p>
    <w:bookmarkEnd w:id="0"/>
    <w:p w14:paraId="3D4839FC" w14:textId="00E815CC" w:rsidR="00A73635" w:rsidRPr="00A6653C" w:rsidRDefault="00A73635" w:rsidP="00A73635">
      <w:pPr>
        <w:spacing w:line="480" w:lineRule="auto"/>
        <w:rPr>
          <w:rFonts w:ascii="Times New Roman" w:eastAsia="Calibri" w:hAnsi="Times New Roman" w:cs="Times New Roman"/>
          <w:u w:val="single"/>
        </w:rPr>
      </w:pPr>
      <w:r w:rsidRPr="00A6653C">
        <w:rPr>
          <w:rFonts w:ascii="Times New Roman" w:eastAsia="Calibri" w:hAnsi="Times New Roman" w:cs="Times New Roman"/>
          <w:u w:val="single"/>
        </w:rPr>
        <w:lastRenderedPageBreak/>
        <w:t>Black</w:t>
      </w:r>
      <w:r>
        <w:rPr>
          <w:rFonts w:ascii="Times New Roman" w:eastAsia="Calibri" w:hAnsi="Times New Roman" w:cs="Times New Roman"/>
          <w:u w:val="single"/>
        </w:rPr>
        <w:t>-</w:t>
      </w:r>
      <w:r w:rsidRPr="00A6653C">
        <w:rPr>
          <w:rFonts w:ascii="Times New Roman" w:eastAsia="Calibri" w:hAnsi="Times New Roman" w:cs="Times New Roman"/>
          <w:u w:val="single"/>
        </w:rPr>
        <w:t xml:space="preserve">start </w:t>
      </w:r>
      <w:r>
        <w:rPr>
          <w:rFonts w:ascii="Times New Roman" w:eastAsia="Calibri" w:hAnsi="Times New Roman" w:cs="Times New Roman"/>
          <w:u w:val="single"/>
        </w:rPr>
        <w:t>facilities are not addressed in the rule</w:t>
      </w:r>
    </w:p>
    <w:p w14:paraId="16E55815" w14:textId="77777777" w:rsidR="00A73635" w:rsidRPr="00B377D3" w:rsidRDefault="00A73635" w:rsidP="00A73635">
      <w:pPr>
        <w:spacing w:line="480" w:lineRule="auto"/>
        <w:ind w:firstLine="720"/>
        <w:rPr>
          <w:rFonts w:ascii="Times New Roman" w:eastAsia="Calibri" w:hAnsi="Times New Roman" w:cs="Times New Roman"/>
        </w:rPr>
      </w:pPr>
      <w:r>
        <w:rPr>
          <w:rFonts w:ascii="Times New Roman" w:eastAsia="Calibri" w:hAnsi="Times New Roman" w:cs="Times New Roman"/>
        </w:rPr>
        <w:t>The proposed rule would require that generation and transmission facilities be ready to perform at the “95</w:t>
      </w:r>
      <w:r w:rsidRPr="00A6653C">
        <w:rPr>
          <w:rFonts w:ascii="Times New Roman" w:eastAsia="Calibri" w:hAnsi="Times New Roman" w:cs="Times New Roman"/>
          <w:vertAlign w:val="superscript"/>
        </w:rPr>
        <w:t>th</w:t>
      </w:r>
      <w:r>
        <w:rPr>
          <w:rFonts w:ascii="Times New Roman" w:eastAsia="Calibri" w:hAnsi="Times New Roman" w:cs="Times New Roman"/>
        </w:rPr>
        <w:t xml:space="preserve"> percentile maximum average 72-hour temperature reported in ERCOT’s historical weather study” (for summer, or the equivalent minimum for winter).</w:t>
      </w:r>
      <w:r>
        <w:rPr>
          <w:rStyle w:val="FootnoteReference"/>
          <w:rFonts w:ascii="Times New Roman" w:eastAsia="Calibri" w:hAnsi="Times New Roman" w:cs="Times New Roman"/>
        </w:rPr>
        <w:footnoteReference w:id="13"/>
      </w:r>
      <w:r>
        <w:rPr>
          <w:rFonts w:ascii="Times New Roman" w:eastAsia="Calibri" w:hAnsi="Times New Roman" w:cs="Times New Roman"/>
        </w:rPr>
        <w:t xml:space="preserve">  We believe that this requirement is insufficient to assure the extreme weather readiness of the ERCOT generators being paid to provide black-start services or the transmission assets on the cranking path from black-start resources to the rest of the ERCOT system.  Given the staggering failure of many black-start assets to remain functional during Winter Storm Uri, and the critical need to maintain reliable black-start assets and processes in the event of a full ERCOT grid collapse, we recommend that the Commission apply higher extreme weather standards and requirements for every generator and transmission asset needed for black-start service.</w:t>
      </w:r>
    </w:p>
    <w:p w14:paraId="26EB17B4" w14:textId="2B388864" w:rsidR="005115C1" w:rsidRDefault="005115C1" w:rsidP="005115C1">
      <w:pPr>
        <w:spacing w:line="480" w:lineRule="auto"/>
        <w:rPr>
          <w:rFonts w:ascii="Times New Roman" w:eastAsia="Calibri" w:hAnsi="Times New Roman" w:cs="Times New Roman"/>
          <w:u w:val="single"/>
        </w:rPr>
      </w:pPr>
      <w:r w:rsidRPr="005115C1">
        <w:rPr>
          <w:rFonts w:ascii="Times New Roman" w:eastAsia="Calibri" w:hAnsi="Times New Roman" w:cs="Times New Roman"/>
          <w:u w:val="single"/>
        </w:rPr>
        <w:t>Conclusion</w:t>
      </w:r>
    </w:p>
    <w:p w14:paraId="017BFC45" w14:textId="5D9E5310" w:rsidR="00835A5D" w:rsidRDefault="005115C1" w:rsidP="005115C1">
      <w:pPr>
        <w:spacing w:line="480" w:lineRule="auto"/>
        <w:rPr>
          <w:rFonts w:ascii="Times New Roman" w:eastAsia="Calibri" w:hAnsi="Times New Roman" w:cs="Times New Roman"/>
        </w:rPr>
      </w:pPr>
      <w:r w:rsidRPr="005115C1">
        <w:rPr>
          <w:rFonts w:ascii="Times New Roman" w:eastAsia="Calibri" w:hAnsi="Times New Roman" w:cs="Times New Roman"/>
        </w:rPr>
        <w:tab/>
      </w:r>
      <w:r>
        <w:rPr>
          <w:rFonts w:ascii="Times New Roman" w:eastAsia="Calibri" w:hAnsi="Times New Roman" w:cs="Times New Roman"/>
        </w:rPr>
        <w:t xml:space="preserve">Extreme weather events are affecting Texans and increasing the risks and costs of reliable operation and resilience for every element of the ERCOT power system.  </w:t>
      </w:r>
      <w:r w:rsidR="004A3573">
        <w:rPr>
          <w:rFonts w:ascii="Times New Roman" w:eastAsia="Calibri" w:hAnsi="Times New Roman" w:cs="Times New Roman"/>
        </w:rPr>
        <w:t>While the PUCT’s proposed weatherization rule is a step forward to address an important challenge, we believe that this proposed rule insufficiently addresses important grid elements that are critical to power system reliability – particularly transmission lines and black-start generation – and fails to address the dramatic increases in the number and risk in current and upcoming extreme weather events.</w:t>
      </w:r>
      <w:r w:rsidR="00837249">
        <w:rPr>
          <w:rFonts w:ascii="Times New Roman" w:eastAsia="Calibri" w:hAnsi="Times New Roman" w:cs="Times New Roman"/>
        </w:rPr>
        <w:t xml:space="preserve">  Unless these </w:t>
      </w:r>
      <w:r w:rsidR="0099431F">
        <w:rPr>
          <w:rFonts w:ascii="Times New Roman" w:eastAsia="Calibri" w:hAnsi="Times New Roman" w:cs="Times New Roman"/>
        </w:rPr>
        <w:t>recommendations are addressed, we fear the rule as drafted will increase power system weatherization costs to Texans without sufficiently protecting us from extreme weather threats.</w:t>
      </w:r>
    </w:p>
    <w:p w14:paraId="1B2EE88D" w14:textId="00FDE60E" w:rsidR="00611440" w:rsidRDefault="00611440">
      <w:pPr>
        <w:rPr>
          <w:rFonts w:ascii="Times New Roman" w:eastAsia="Calibri" w:hAnsi="Times New Roman" w:cs="Times New Roman"/>
        </w:rPr>
      </w:pPr>
    </w:p>
    <w:p w14:paraId="2D1F0E85" w14:textId="77777777" w:rsidR="00837249" w:rsidRDefault="00837249" w:rsidP="000154BC">
      <w:pPr>
        <w:ind w:left="4320" w:firstLine="720"/>
        <w:rPr>
          <w:rFonts w:ascii="Times New Roman" w:eastAsia="Calibri" w:hAnsi="Times New Roman" w:cs="Times New Roman"/>
        </w:rPr>
      </w:pPr>
    </w:p>
    <w:p w14:paraId="75154136" w14:textId="77777777" w:rsidR="00837249" w:rsidRDefault="00837249" w:rsidP="0099431F">
      <w:pPr>
        <w:rPr>
          <w:rFonts w:ascii="Times New Roman" w:eastAsia="Calibri" w:hAnsi="Times New Roman" w:cs="Times New Roman"/>
        </w:rPr>
      </w:pPr>
    </w:p>
    <w:p w14:paraId="39E78CD6" w14:textId="28BCFBD1" w:rsidR="00502E2E" w:rsidRDefault="00502E2E" w:rsidP="000154BC">
      <w:pPr>
        <w:ind w:left="4320" w:firstLine="720"/>
        <w:rPr>
          <w:rFonts w:ascii="Times New Roman" w:eastAsia="Calibri" w:hAnsi="Times New Roman" w:cs="Times New Roman"/>
        </w:rPr>
      </w:pPr>
      <w:r w:rsidRPr="00502E2E">
        <w:rPr>
          <w:rFonts w:ascii="Times New Roman" w:eastAsia="Calibri" w:hAnsi="Times New Roman" w:cs="Times New Roman"/>
        </w:rPr>
        <w:lastRenderedPageBreak/>
        <w:t>Respectfully submitted,</w:t>
      </w:r>
    </w:p>
    <w:p w14:paraId="6B2773DA" w14:textId="60FC8059" w:rsidR="00DC7555" w:rsidRDefault="00DC7555" w:rsidP="00502E2E">
      <w:pPr>
        <w:rPr>
          <w:rFonts w:ascii="Times New Roman" w:eastAsia="Calibri" w:hAnsi="Times New Roman" w:cs="Times New Roman"/>
        </w:rPr>
      </w:pPr>
    </w:p>
    <w:p w14:paraId="51D4BD95" w14:textId="5C7CB81C" w:rsidR="0000279E" w:rsidRPr="00502E2E" w:rsidRDefault="000154BC" w:rsidP="00502E2E">
      <w:pPr>
        <w:rPr>
          <w:rFonts w:ascii="Times New Roman" w:eastAsia="Calibri" w:hAnsi="Times New Roman" w:cs="Times New Roman"/>
        </w:rPr>
      </w:pPr>
      <w:r>
        <w:rPr>
          <w:rFonts w:ascii="Times New Roman" w:eastAsia="Calibri" w:hAnsi="Times New Roman" w:cs="Times New Roman"/>
        </w:rPr>
        <w:tab/>
      </w:r>
      <w:r>
        <w:rPr>
          <w:rFonts w:ascii="Times New Roman" w:eastAsia="Calibri" w:hAnsi="Times New Roman" w:cs="Times New Roman"/>
        </w:rPr>
        <w:tab/>
      </w:r>
      <w:r>
        <w:rPr>
          <w:rFonts w:ascii="Times New Roman" w:eastAsia="Calibri" w:hAnsi="Times New Roman" w:cs="Times New Roman"/>
        </w:rPr>
        <w:tab/>
      </w:r>
      <w:r>
        <w:rPr>
          <w:rFonts w:ascii="Times New Roman" w:eastAsia="Calibri" w:hAnsi="Times New Roman" w:cs="Times New Roman"/>
        </w:rPr>
        <w:tab/>
      </w:r>
      <w:r>
        <w:rPr>
          <w:rFonts w:ascii="Times New Roman" w:eastAsia="Calibri" w:hAnsi="Times New Roman" w:cs="Times New Roman"/>
        </w:rPr>
        <w:tab/>
      </w:r>
      <w:r>
        <w:rPr>
          <w:rFonts w:ascii="Times New Roman" w:eastAsia="Calibri" w:hAnsi="Times New Roman" w:cs="Times New Roman"/>
        </w:rPr>
        <w:tab/>
      </w:r>
      <w:r>
        <w:rPr>
          <w:rFonts w:ascii="Times New Roman" w:eastAsia="Calibri" w:hAnsi="Times New Roman" w:cs="Times New Roman"/>
        </w:rPr>
        <w:tab/>
      </w:r>
      <w:r>
        <w:rPr>
          <w:rFonts w:ascii="Times New Roman" w:eastAsia="Calibri" w:hAnsi="Times New Roman" w:cs="Times New Roman"/>
          <w:noProof/>
        </w:rPr>
        <w:drawing>
          <wp:inline distT="0" distB="0" distL="0" distR="0" wp14:anchorId="37AFE835" wp14:editId="1765107E">
            <wp:extent cx="1371600" cy="480951"/>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3">
                      <a:extLst>
                        <a:ext uri="{28A0092B-C50C-407E-A947-70E740481C1C}">
                          <a14:useLocalDpi xmlns:a14="http://schemas.microsoft.com/office/drawing/2010/main" val="0"/>
                        </a:ext>
                      </a:extLst>
                    </a:blip>
                    <a:stretch>
                      <a:fillRect/>
                    </a:stretch>
                  </pic:blipFill>
                  <pic:spPr>
                    <a:xfrm>
                      <a:off x="0" y="0"/>
                      <a:ext cx="1402297" cy="491715"/>
                    </a:xfrm>
                    <a:prstGeom prst="rect">
                      <a:avLst/>
                    </a:prstGeom>
                  </pic:spPr>
                </pic:pic>
              </a:graphicData>
            </a:graphic>
          </wp:inline>
        </w:drawing>
      </w:r>
    </w:p>
    <w:p w14:paraId="0312C257" w14:textId="77777777" w:rsidR="00502E2E" w:rsidRPr="00502E2E" w:rsidRDefault="00502E2E" w:rsidP="00502E2E">
      <w:pPr>
        <w:ind w:firstLine="720"/>
        <w:rPr>
          <w:rFonts w:ascii="Times New Roman" w:eastAsia="Calibri" w:hAnsi="Times New Roman" w:cs="Times New Roman"/>
        </w:rPr>
      </w:pPr>
      <w:r w:rsidRPr="00502E2E">
        <w:rPr>
          <w:rFonts w:ascii="Times New Roman" w:eastAsia="Calibri" w:hAnsi="Times New Roman" w:cs="Times New Roman"/>
        </w:rPr>
        <w:tab/>
      </w:r>
      <w:r w:rsidRPr="00502E2E">
        <w:rPr>
          <w:rFonts w:ascii="Times New Roman" w:eastAsia="Calibri" w:hAnsi="Times New Roman" w:cs="Times New Roman"/>
        </w:rPr>
        <w:tab/>
      </w:r>
      <w:r w:rsidRPr="00502E2E">
        <w:rPr>
          <w:rFonts w:ascii="Times New Roman" w:eastAsia="Calibri" w:hAnsi="Times New Roman" w:cs="Times New Roman"/>
        </w:rPr>
        <w:tab/>
      </w:r>
      <w:r w:rsidRPr="00502E2E">
        <w:rPr>
          <w:rFonts w:ascii="Times New Roman" w:eastAsia="Calibri" w:hAnsi="Times New Roman" w:cs="Times New Roman"/>
        </w:rPr>
        <w:tab/>
      </w:r>
      <w:r w:rsidRPr="00502E2E">
        <w:rPr>
          <w:rFonts w:ascii="Times New Roman" w:eastAsia="Calibri" w:hAnsi="Times New Roman" w:cs="Times New Roman"/>
        </w:rPr>
        <w:tab/>
      </w:r>
      <w:r w:rsidRPr="00502E2E">
        <w:rPr>
          <w:rFonts w:ascii="Times New Roman" w:eastAsia="Calibri" w:hAnsi="Times New Roman" w:cs="Times New Roman"/>
        </w:rPr>
        <w:tab/>
        <w:t>__________________________________</w:t>
      </w:r>
    </w:p>
    <w:p w14:paraId="01B639DC" w14:textId="77777777" w:rsidR="00502E2E" w:rsidRPr="00502E2E" w:rsidRDefault="00502E2E" w:rsidP="00502E2E">
      <w:pPr>
        <w:ind w:firstLine="720"/>
        <w:rPr>
          <w:rFonts w:ascii="Times New Roman" w:eastAsia="Calibri" w:hAnsi="Times New Roman" w:cs="Times New Roman"/>
        </w:rPr>
      </w:pPr>
      <w:r w:rsidRPr="00502E2E">
        <w:rPr>
          <w:rFonts w:ascii="Times New Roman" w:eastAsia="Calibri" w:hAnsi="Times New Roman" w:cs="Times New Roman"/>
        </w:rPr>
        <w:tab/>
      </w:r>
      <w:r w:rsidRPr="00502E2E">
        <w:rPr>
          <w:rFonts w:ascii="Times New Roman" w:eastAsia="Calibri" w:hAnsi="Times New Roman" w:cs="Times New Roman"/>
        </w:rPr>
        <w:tab/>
      </w:r>
      <w:r w:rsidRPr="00502E2E">
        <w:rPr>
          <w:rFonts w:ascii="Times New Roman" w:eastAsia="Calibri" w:hAnsi="Times New Roman" w:cs="Times New Roman"/>
        </w:rPr>
        <w:tab/>
      </w:r>
      <w:r w:rsidRPr="00502E2E">
        <w:rPr>
          <w:rFonts w:ascii="Times New Roman" w:eastAsia="Calibri" w:hAnsi="Times New Roman" w:cs="Times New Roman"/>
        </w:rPr>
        <w:tab/>
      </w:r>
      <w:r w:rsidRPr="00502E2E">
        <w:rPr>
          <w:rFonts w:ascii="Times New Roman" w:eastAsia="Calibri" w:hAnsi="Times New Roman" w:cs="Times New Roman"/>
        </w:rPr>
        <w:tab/>
      </w:r>
      <w:r w:rsidRPr="00502E2E">
        <w:rPr>
          <w:rFonts w:ascii="Times New Roman" w:eastAsia="Calibri" w:hAnsi="Times New Roman" w:cs="Times New Roman"/>
        </w:rPr>
        <w:tab/>
        <w:t>Colin Leyden</w:t>
      </w:r>
    </w:p>
    <w:p w14:paraId="46D64D85" w14:textId="77777777" w:rsidR="00502E2E" w:rsidRPr="00502E2E" w:rsidRDefault="00502E2E" w:rsidP="00502E2E">
      <w:pPr>
        <w:ind w:left="4320" w:firstLine="720"/>
        <w:rPr>
          <w:rFonts w:ascii="Times New Roman" w:eastAsia="Calibri" w:hAnsi="Times New Roman" w:cs="Times New Roman"/>
        </w:rPr>
      </w:pPr>
      <w:r w:rsidRPr="00502E2E">
        <w:rPr>
          <w:rFonts w:ascii="Times New Roman" w:eastAsia="Calibri" w:hAnsi="Times New Roman" w:cs="Times New Roman"/>
        </w:rPr>
        <w:t>Environmental Defense Fund</w:t>
      </w:r>
    </w:p>
    <w:p w14:paraId="2668B251" w14:textId="77777777" w:rsidR="00502E2E" w:rsidRPr="00502E2E" w:rsidRDefault="00502E2E" w:rsidP="00502E2E">
      <w:pPr>
        <w:ind w:left="4320" w:firstLine="720"/>
        <w:rPr>
          <w:rFonts w:ascii="Times New Roman" w:eastAsia="Calibri" w:hAnsi="Times New Roman" w:cs="Times New Roman"/>
        </w:rPr>
      </w:pPr>
    </w:p>
    <w:p w14:paraId="682BE655" w14:textId="4101558E" w:rsidR="00502E2E" w:rsidRPr="00502E2E" w:rsidRDefault="000154BC" w:rsidP="000154BC">
      <w:pPr>
        <w:ind w:left="4320" w:firstLine="720"/>
        <w:rPr>
          <w:rFonts w:ascii="Times New Roman" w:eastAsia="Calibri" w:hAnsi="Times New Roman" w:cs="Times New Roman"/>
        </w:rPr>
      </w:pPr>
      <w:r>
        <w:rPr>
          <w:rFonts w:ascii="Times New Roman" w:eastAsia="Calibri" w:hAnsi="Times New Roman" w:cs="Times New Roman"/>
          <w:noProof/>
        </w:rPr>
        <w:drawing>
          <wp:inline distT="0" distB="0" distL="0" distR="0" wp14:anchorId="58373B83" wp14:editId="57ADC8E8">
            <wp:extent cx="1701800" cy="520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
                      <a:extLst>
                        <a:ext uri="{28A0092B-C50C-407E-A947-70E740481C1C}">
                          <a14:useLocalDpi xmlns:a14="http://schemas.microsoft.com/office/drawing/2010/main" val="0"/>
                        </a:ext>
                      </a:extLst>
                    </a:blip>
                    <a:stretch>
                      <a:fillRect/>
                    </a:stretch>
                  </pic:blipFill>
                  <pic:spPr>
                    <a:xfrm>
                      <a:off x="0" y="0"/>
                      <a:ext cx="1701800" cy="520700"/>
                    </a:xfrm>
                    <a:prstGeom prst="rect">
                      <a:avLst/>
                    </a:prstGeom>
                  </pic:spPr>
                </pic:pic>
              </a:graphicData>
            </a:graphic>
          </wp:inline>
        </w:drawing>
      </w:r>
    </w:p>
    <w:p w14:paraId="7730405D" w14:textId="77777777" w:rsidR="00502E2E" w:rsidRPr="00502E2E" w:rsidRDefault="00502E2E" w:rsidP="00502E2E">
      <w:pPr>
        <w:ind w:left="4320" w:firstLine="720"/>
        <w:rPr>
          <w:rFonts w:ascii="Times New Roman" w:eastAsia="Calibri" w:hAnsi="Times New Roman" w:cs="Times New Roman"/>
        </w:rPr>
      </w:pPr>
      <w:r w:rsidRPr="00502E2E">
        <w:rPr>
          <w:rFonts w:ascii="Times New Roman" w:eastAsia="Calibri" w:hAnsi="Times New Roman" w:cs="Times New Roman"/>
        </w:rPr>
        <w:t>__________________________________</w:t>
      </w:r>
    </w:p>
    <w:p w14:paraId="112228CC" w14:textId="77777777" w:rsidR="00502E2E" w:rsidRPr="00502E2E" w:rsidRDefault="00502E2E" w:rsidP="00502E2E">
      <w:pPr>
        <w:ind w:left="4320" w:firstLine="720"/>
        <w:rPr>
          <w:rFonts w:ascii="Times New Roman" w:eastAsia="Calibri" w:hAnsi="Times New Roman" w:cs="Times New Roman"/>
        </w:rPr>
      </w:pPr>
      <w:r w:rsidRPr="00502E2E">
        <w:rPr>
          <w:rFonts w:ascii="Times New Roman" w:eastAsia="Calibri" w:hAnsi="Times New Roman" w:cs="Times New Roman"/>
        </w:rPr>
        <w:t>Sandie Haverlah</w:t>
      </w:r>
    </w:p>
    <w:p w14:paraId="6683DB12" w14:textId="4BE38D50" w:rsidR="00502E2E" w:rsidRDefault="00502E2E" w:rsidP="00502E2E">
      <w:pPr>
        <w:ind w:left="4320" w:firstLine="720"/>
        <w:rPr>
          <w:rFonts w:ascii="Times New Roman" w:eastAsia="Calibri" w:hAnsi="Times New Roman" w:cs="Times New Roman"/>
        </w:rPr>
      </w:pPr>
      <w:r w:rsidRPr="00502E2E">
        <w:rPr>
          <w:rFonts w:ascii="Times New Roman" w:eastAsia="Calibri" w:hAnsi="Times New Roman" w:cs="Times New Roman"/>
        </w:rPr>
        <w:t>Texas Consumer Association</w:t>
      </w:r>
    </w:p>
    <w:p w14:paraId="73B11D16" w14:textId="77777777" w:rsidR="00BC0589" w:rsidRPr="00502E2E" w:rsidRDefault="00BC0589" w:rsidP="00502E2E">
      <w:pPr>
        <w:ind w:left="4320" w:firstLine="720"/>
        <w:rPr>
          <w:rFonts w:ascii="Times New Roman" w:eastAsia="Calibri" w:hAnsi="Times New Roman" w:cs="Times New Roman"/>
        </w:rPr>
      </w:pPr>
    </w:p>
    <w:p w14:paraId="6B782DE2" w14:textId="15596128" w:rsidR="00502E2E" w:rsidRPr="00502E2E" w:rsidRDefault="00502E2E" w:rsidP="00502E2E">
      <w:pPr>
        <w:ind w:left="5040"/>
        <w:rPr>
          <w:rFonts w:ascii="Times New Roman" w:eastAsia="Calibri" w:hAnsi="Times New Roman" w:cs="Times New Roman"/>
        </w:rPr>
      </w:pPr>
      <w:r w:rsidRPr="00502E2E">
        <w:rPr>
          <w:rFonts w:ascii="Times New Roman" w:eastAsia="Calibri" w:hAnsi="Times New Roman" w:cs="Times New Roman"/>
          <w:noProof/>
        </w:rPr>
        <w:drawing>
          <wp:inline distT="0" distB="0" distL="0" distR="0" wp14:anchorId="1080CE87" wp14:editId="7303E3F6">
            <wp:extent cx="1470143" cy="42106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09110" cy="432220"/>
                    </a:xfrm>
                    <a:prstGeom prst="rect">
                      <a:avLst/>
                    </a:prstGeom>
                  </pic:spPr>
                </pic:pic>
              </a:graphicData>
            </a:graphic>
          </wp:inline>
        </w:drawing>
      </w:r>
      <w:r w:rsidRPr="00502E2E">
        <w:rPr>
          <w:rFonts w:ascii="Times New Roman" w:eastAsia="Calibri" w:hAnsi="Times New Roman" w:cs="Times New Roman"/>
        </w:rPr>
        <w:t>____________________________</w:t>
      </w:r>
    </w:p>
    <w:p w14:paraId="7C8529F7" w14:textId="77777777" w:rsidR="00502E2E" w:rsidRPr="00502E2E" w:rsidRDefault="00502E2E" w:rsidP="00502E2E">
      <w:pPr>
        <w:ind w:left="4320" w:firstLine="720"/>
        <w:rPr>
          <w:rFonts w:ascii="Times New Roman" w:eastAsia="Calibri" w:hAnsi="Times New Roman" w:cs="Times New Roman"/>
        </w:rPr>
      </w:pPr>
      <w:r w:rsidRPr="00502E2E">
        <w:rPr>
          <w:rFonts w:ascii="Times New Roman" w:eastAsia="Calibri" w:hAnsi="Times New Roman" w:cs="Times New Roman"/>
        </w:rPr>
        <w:t>Alison Silverstein</w:t>
      </w:r>
    </w:p>
    <w:p w14:paraId="1BA7D41B" w14:textId="7ED5D449" w:rsidR="00502E2E" w:rsidRPr="00502E2E" w:rsidRDefault="00502E2E" w:rsidP="00502E2E">
      <w:pPr>
        <w:ind w:left="4320" w:firstLine="720"/>
        <w:rPr>
          <w:rFonts w:ascii="Times New Roman" w:eastAsia="Calibri" w:hAnsi="Times New Roman" w:cs="Times New Roman"/>
        </w:rPr>
      </w:pPr>
      <w:r w:rsidRPr="00502E2E">
        <w:rPr>
          <w:rFonts w:ascii="Times New Roman" w:eastAsia="Calibri" w:hAnsi="Times New Roman" w:cs="Times New Roman"/>
        </w:rPr>
        <w:t>Alison Silverstein Consulting</w:t>
      </w:r>
    </w:p>
    <w:p w14:paraId="10C20782" w14:textId="1EA16B02" w:rsidR="00502E2E" w:rsidRPr="00D817A7" w:rsidRDefault="00502E2E" w:rsidP="00502E2E">
      <w:pPr>
        <w:rPr>
          <w:rFonts w:eastAsia="Calibri" w:cs="Times New Roman"/>
        </w:rPr>
      </w:pPr>
      <w:r>
        <w:rPr>
          <w:rFonts w:eastAsia="Calibri" w:cs="Times New Roman"/>
        </w:rPr>
        <w:br w:type="page"/>
      </w:r>
    </w:p>
    <w:p w14:paraId="0E6F0082" w14:textId="77777777" w:rsidR="003F120D" w:rsidRPr="00502E2E" w:rsidRDefault="003F120D" w:rsidP="003F120D">
      <w:pPr>
        <w:spacing w:after="160" w:line="259" w:lineRule="auto"/>
        <w:jc w:val="center"/>
        <w:rPr>
          <w:rFonts w:ascii="Times New Roman" w:eastAsia="Calibri" w:hAnsi="Times New Roman" w:cs="Times New Roman"/>
          <w:b/>
        </w:rPr>
      </w:pPr>
      <w:r w:rsidRPr="00502E2E">
        <w:rPr>
          <w:rFonts w:ascii="Times New Roman" w:eastAsia="Calibri" w:hAnsi="Times New Roman" w:cs="Times New Roman"/>
          <w:b/>
        </w:rPr>
        <w:lastRenderedPageBreak/>
        <w:t xml:space="preserve">PROJECT NO. </w:t>
      </w:r>
      <w:r>
        <w:rPr>
          <w:rFonts w:ascii="Times New Roman" w:eastAsia="Calibri" w:hAnsi="Times New Roman" w:cs="Times New Roman"/>
          <w:b/>
        </w:rPr>
        <w:t>53401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5"/>
        <w:gridCol w:w="360"/>
        <w:gridCol w:w="4495"/>
      </w:tblGrid>
      <w:tr w:rsidR="003F120D" w:rsidRPr="00502E2E" w14:paraId="011CECB1" w14:textId="77777777" w:rsidTr="0096075D">
        <w:tc>
          <w:tcPr>
            <w:tcW w:w="4495" w:type="dxa"/>
          </w:tcPr>
          <w:p w14:paraId="53733F7C" w14:textId="77777777" w:rsidR="003F120D" w:rsidRPr="00502E2E" w:rsidRDefault="003F120D" w:rsidP="0096075D">
            <w:pPr>
              <w:jc w:val="center"/>
              <w:rPr>
                <w:rFonts w:ascii="Times New Roman" w:eastAsia="Calibri" w:hAnsi="Times New Roman"/>
                <w:b/>
                <w:sz w:val="24"/>
                <w:szCs w:val="24"/>
              </w:rPr>
            </w:pPr>
            <w:r>
              <w:rPr>
                <w:rFonts w:ascii="Times New Roman" w:eastAsia="Calibri" w:hAnsi="Times New Roman"/>
                <w:b/>
                <w:sz w:val="24"/>
                <w:szCs w:val="24"/>
              </w:rPr>
              <w:t xml:space="preserve">ELECTRIC WEATHER PREPAREDNESS STANDARDS – PHASE II </w:t>
            </w:r>
          </w:p>
        </w:tc>
        <w:tc>
          <w:tcPr>
            <w:tcW w:w="360" w:type="dxa"/>
          </w:tcPr>
          <w:p w14:paraId="07576419" w14:textId="77777777" w:rsidR="003F120D" w:rsidRPr="00502E2E" w:rsidRDefault="003F120D" w:rsidP="0096075D">
            <w:pPr>
              <w:jc w:val="center"/>
              <w:rPr>
                <w:rFonts w:ascii="Times New Roman" w:eastAsia="Calibri" w:hAnsi="Times New Roman"/>
                <w:b/>
                <w:sz w:val="24"/>
                <w:szCs w:val="24"/>
              </w:rPr>
            </w:pPr>
            <w:r w:rsidRPr="00502E2E">
              <w:rPr>
                <w:rFonts w:ascii="Times New Roman" w:eastAsia="Calibri" w:hAnsi="Times New Roman"/>
                <w:b/>
                <w:sz w:val="24"/>
                <w:szCs w:val="24"/>
              </w:rPr>
              <w:t>§</w:t>
            </w:r>
          </w:p>
          <w:p w14:paraId="3EA7C3B6" w14:textId="77777777" w:rsidR="003F120D" w:rsidRPr="00502E2E" w:rsidRDefault="003F120D" w:rsidP="0096075D">
            <w:pPr>
              <w:jc w:val="center"/>
              <w:rPr>
                <w:rFonts w:ascii="Times New Roman" w:eastAsia="Calibri" w:hAnsi="Times New Roman"/>
                <w:b/>
                <w:sz w:val="24"/>
                <w:szCs w:val="24"/>
              </w:rPr>
            </w:pPr>
            <w:r w:rsidRPr="00502E2E">
              <w:rPr>
                <w:rFonts w:ascii="Times New Roman" w:eastAsia="Calibri" w:hAnsi="Times New Roman"/>
                <w:b/>
                <w:sz w:val="24"/>
                <w:szCs w:val="24"/>
              </w:rPr>
              <w:t>§</w:t>
            </w:r>
          </w:p>
        </w:tc>
        <w:tc>
          <w:tcPr>
            <w:tcW w:w="4495" w:type="dxa"/>
          </w:tcPr>
          <w:p w14:paraId="450BF289" w14:textId="77777777" w:rsidR="003F120D" w:rsidRPr="00502E2E" w:rsidRDefault="003F120D" w:rsidP="0096075D">
            <w:pPr>
              <w:jc w:val="center"/>
              <w:rPr>
                <w:rFonts w:ascii="Times New Roman" w:eastAsia="Calibri" w:hAnsi="Times New Roman"/>
                <w:b/>
                <w:sz w:val="24"/>
                <w:szCs w:val="24"/>
              </w:rPr>
            </w:pPr>
            <w:r w:rsidRPr="00502E2E">
              <w:rPr>
                <w:rFonts w:ascii="Times New Roman" w:eastAsia="Calibri" w:hAnsi="Times New Roman"/>
                <w:b/>
                <w:sz w:val="24"/>
                <w:szCs w:val="24"/>
              </w:rPr>
              <w:t>PUBLIC UTILITY COMMISSION</w:t>
            </w:r>
          </w:p>
          <w:p w14:paraId="76644E4E" w14:textId="77777777" w:rsidR="003F120D" w:rsidRPr="00502E2E" w:rsidRDefault="003F120D" w:rsidP="0096075D">
            <w:pPr>
              <w:jc w:val="center"/>
              <w:rPr>
                <w:rFonts w:ascii="Times New Roman" w:eastAsia="Calibri" w:hAnsi="Times New Roman"/>
                <w:b/>
                <w:sz w:val="24"/>
                <w:szCs w:val="24"/>
              </w:rPr>
            </w:pPr>
            <w:r w:rsidRPr="00502E2E">
              <w:rPr>
                <w:rFonts w:ascii="Times New Roman" w:eastAsia="Calibri" w:hAnsi="Times New Roman"/>
                <w:b/>
                <w:sz w:val="24"/>
                <w:szCs w:val="24"/>
              </w:rPr>
              <w:t>OF TEXAS</w:t>
            </w:r>
          </w:p>
        </w:tc>
      </w:tr>
    </w:tbl>
    <w:p w14:paraId="74DFBB73" w14:textId="77777777" w:rsidR="00055DA9" w:rsidRDefault="00055DA9" w:rsidP="003F120D">
      <w:pPr>
        <w:tabs>
          <w:tab w:val="left" w:pos="7920"/>
        </w:tabs>
        <w:spacing w:line="259" w:lineRule="auto"/>
        <w:jc w:val="center"/>
        <w:rPr>
          <w:rFonts w:ascii="Times New Roman" w:eastAsia="Calibri" w:hAnsi="Times New Roman"/>
          <w:b/>
        </w:rPr>
      </w:pPr>
    </w:p>
    <w:p w14:paraId="19899CB1" w14:textId="7EB4B063" w:rsidR="003F120D" w:rsidRPr="00502E2E" w:rsidRDefault="003F120D" w:rsidP="003F120D">
      <w:pPr>
        <w:tabs>
          <w:tab w:val="left" w:pos="7920"/>
        </w:tabs>
        <w:spacing w:line="259" w:lineRule="auto"/>
        <w:jc w:val="center"/>
        <w:rPr>
          <w:rFonts w:ascii="Times New Roman" w:eastAsia="Calibri" w:hAnsi="Times New Roman" w:cs="Times New Roman"/>
          <w:b/>
        </w:rPr>
      </w:pPr>
      <w:r w:rsidRPr="00502E2E">
        <w:rPr>
          <w:rFonts w:ascii="Times New Roman" w:eastAsia="Calibri" w:hAnsi="Times New Roman" w:cs="Times New Roman"/>
          <w:b/>
        </w:rPr>
        <w:t xml:space="preserve">COMMENTS OF </w:t>
      </w:r>
    </w:p>
    <w:p w14:paraId="4F4CF596" w14:textId="77777777" w:rsidR="003F120D" w:rsidRPr="00502E2E" w:rsidRDefault="003F120D" w:rsidP="003F120D">
      <w:pPr>
        <w:tabs>
          <w:tab w:val="left" w:pos="7920"/>
        </w:tabs>
        <w:spacing w:line="259" w:lineRule="auto"/>
        <w:jc w:val="center"/>
        <w:rPr>
          <w:rFonts w:ascii="Times New Roman" w:eastAsia="Calibri" w:hAnsi="Times New Roman" w:cs="Times New Roman"/>
          <w:b/>
        </w:rPr>
      </w:pPr>
      <w:r w:rsidRPr="00502E2E">
        <w:rPr>
          <w:rFonts w:ascii="Times New Roman" w:eastAsia="Calibri" w:hAnsi="Times New Roman" w:cs="Times New Roman"/>
          <w:b/>
        </w:rPr>
        <w:t xml:space="preserve">ENVIRONMENTAL DEFENSE FUND, TEXAS CONSUMER ASSOCIATION </w:t>
      </w:r>
    </w:p>
    <w:p w14:paraId="567659AD" w14:textId="77777777" w:rsidR="003F120D" w:rsidRPr="00502E2E" w:rsidRDefault="003F120D" w:rsidP="003F120D">
      <w:pPr>
        <w:tabs>
          <w:tab w:val="left" w:pos="7920"/>
        </w:tabs>
        <w:spacing w:line="259" w:lineRule="auto"/>
        <w:jc w:val="center"/>
        <w:rPr>
          <w:rFonts w:ascii="Times New Roman" w:eastAsia="Calibri" w:hAnsi="Times New Roman" w:cs="Times New Roman"/>
          <w:b/>
        </w:rPr>
      </w:pPr>
      <w:r w:rsidRPr="00502E2E">
        <w:rPr>
          <w:rFonts w:ascii="Times New Roman" w:eastAsia="Calibri" w:hAnsi="Times New Roman" w:cs="Times New Roman"/>
          <w:b/>
        </w:rPr>
        <w:t>&amp; ALISON SILVERSTEIN CONSULTING</w:t>
      </w:r>
    </w:p>
    <w:p w14:paraId="155B280E" w14:textId="77777777" w:rsidR="003F120D" w:rsidRPr="00502E2E" w:rsidRDefault="003F120D" w:rsidP="003F120D">
      <w:pPr>
        <w:jc w:val="center"/>
        <w:rPr>
          <w:rFonts w:ascii="Times New Roman" w:eastAsia="Calibri" w:hAnsi="Times New Roman" w:cs="Times New Roman"/>
        </w:rPr>
      </w:pPr>
    </w:p>
    <w:p w14:paraId="651C4B45" w14:textId="77777777" w:rsidR="003F120D" w:rsidRDefault="003F120D" w:rsidP="003F120D">
      <w:pPr>
        <w:rPr>
          <w:rFonts w:ascii="Times New Roman" w:eastAsia="Calibri" w:hAnsi="Times New Roman" w:cs="Times New Roman"/>
        </w:rPr>
      </w:pPr>
    </w:p>
    <w:p w14:paraId="09807A06" w14:textId="3E68EB72" w:rsidR="003F120D" w:rsidRDefault="003F120D" w:rsidP="003F120D">
      <w:pPr>
        <w:rPr>
          <w:rFonts w:ascii="Times New Roman" w:eastAsia="Calibri" w:hAnsi="Times New Roman" w:cs="Times New Roman"/>
        </w:rPr>
      </w:pPr>
      <w:r>
        <w:rPr>
          <w:rFonts w:ascii="Times New Roman" w:eastAsia="Calibri" w:hAnsi="Times New Roman" w:cs="Times New Roman"/>
        </w:rPr>
        <w:tab/>
      </w:r>
      <w:r w:rsidRPr="00502E2E">
        <w:rPr>
          <w:rFonts w:ascii="Times New Roman" w:eastAsia="Calibri" w:hAnsi="Times New Roman" w:cs="Times New Roman"/>
        </w:rPr>
        <w:t xml:space="preserve">COMES NOW the Environmental Defense Fund, a non-profit, non-partisan, non-governmental environmental organization, the Texas Consumer Association, a non-profit advocate representing small business and individual Texas customers on pocketbook issues, and Alison Silverstein, an independent energy consultant, to offer these joint-filed Comments responding </w:t>
      </w:r>
      <w:r>
        <w:rPr>
          <w:rFonts w:ascii="Times New Roman" w:eastAsia="Calibri" w:hAnsi="Times New Roman" w:cs="Times New Roman"/>
        </w:rPr>
        <w:t>to the Commission’s request for comments in Project 53401.</w:t>
      </w:r>
    </w:p>
    <w:p w14:paraId="5A1D3A2C" w14:textId="77777777" w:rsidR="0031357D" w:rsidRDefault="0031357D" w:rsidP="003F120D">
      <w:pPr>
        <w:rPr>
          <w:rFonts w:ascii="Times New Roman" w:eastAsia="Calibri" w:hAnsi="Times New Roman" w:cs="Times New Roman"/>
        </w:rPr>
      </w:pPr>
    </w:p>
    <w:p w14:paraId="20D5F77F" w14:textId="742190FB" w:rsidR="003F120D" w:rsidRDefault="003F120D" w:rsidP="003F120D">
      <w:pPr>
        <w:rPr>
          <w:rFonts w:ascii="Times New Roman" w:eastAsia="Calibri" w:hAnsi="Times New Roman" w:cs="Times New Roman"/>
        </w:rPr>
      </w:pPr>
      <w:r>
        <w:rPr>
          <w:rFonts w:ascii="Times New Roman" w:eastAsia="Calibri" w:hAnsi="Times New Roman" w:cs="Times New Roman"/>
        </w:rPr>
        <w:tab/>
        <w:t xml:space="preserve">We </w:t>
      </w:r>
      <w:r w:rsidR="00302E3F">
        <w:rPr>
          <w:rFonts w:ascii="Times New Roman" w:eastAsia="Calibri" w:hAnsi="Times New Roman" w:cs="Times New Roman"/>
        </w:rPr>
        <w:t>believe</w:t>
      </w:r>
      <w:r>
        <w:rPr>
          <w:rFonts w:ascii="Times New Roman" w:eastAsia="Calibri" w:hAnsi="Times New Roman" w:cs="Times New Roman"/>
        </w:rPr>
        <w:t xml:space="preserve"> that the proposed rule will not adequately protect Texas grid reliability and resilience from extreme weather events because it: </w:t>
      </w:r>
    </w:p>
    <w:p w14:paraId="3C653822" w14:textId="77777777" w:rsidR="003F120D" w:rsidRDefault="003F120D" w:rsidP="003F120D">
      <w:pPr>
        <w:rPr>
          <w:rFonts w:ascii="Times New Roman" w:eastAsia="Calibri" w:hAnsi="Times New Roman" w:cs="Times New Roman"/>
        </w:rPr>
      </w:pPr>
    </w:p>
    <w:p w14:paraId="30200C52" w14:textId="77777777" w:rsidR="001B4E4A" w:rsidRDefault="001B4E4A" w:rsidP="001B4E4A">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 xml:space="preserve">Does not </w:t>
      </w:r>
      <w:r w:rsidRPr="0097349F">
        <w:rPr>
          <w:rFonts w:ascii="Times New Roman" w:eastAsia="Calibri" w:hAnsi="Times New Roman" w:cs="Times New Roman"/>
        </w:rPr>
        <w:t xml:space="preserve">include reliability-impacting weather events such as </w:t>
      </w:r>
      <w:r>
        <w:rPr>
          <w:rFonts w:ascii="Times New Roman" w:eastAsia="Calibri" w:hAnsi="Times New Roman" w:cs="Times New Roman"/>
        </w:rPr>
        <w:t xml:space="preserve">floods, </w:t>
      </w:r>
      <w:r w:rsidRPr="0097349F">
        <w:rPr>
          <w:rFonts w:ascii="Times New Roman" w:eastAsia="Calibri" w:hAnsi="Times New Roman" w:cs="Times New Roman"/>
        </w:rPr>
        <w:t xml:space="preserve">tornadoes, hurricanes and </w:t>
      </w:r>
      <w:proofErr w:type="gramStart"/>
      <w:r w:rsidRPr="0097349F">
        <w:rPr>
          <w:rFonts w:ascii="Times New Roman" w:eastAsia="Calibri" w:hAnsi="Times New Roman" w:cs="Times New Roman"/>
        </w:rPr>
        <w:t>wildfires</w:t>
      </w:r>
      <w:r>
        <w:rPr>
          <w:rFonts w:ascii="Times New Roman" w:eastAsia="Calibri" w:hAnsi="Times New Roman" w:cs="Times New Roman"/>
        </w:rPr>
        <w:t>;</w:t>
      </w:r>
      <w:proofErr w:type="gramEnd"/>
    </w:p>
    <w:p w14:paraId="4B848945" w14:textId="77777777" w:rsidR="003F120D" w:rsidRDefault="003F120D" w:rsidP="003F120D">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 xml:space="preserve">Does not </w:t>
      </w:r>
      <w:r w:rsidRPr="0097349F">
        <w:rPr>
          <w:rFonts w:ascii="Times New Roman" w:eastAsia="Calibri" w:hAnsi="Times New Roman" w:cs="Times New Roman"/>
        </w:rPr>
        <w:t>recognize the ways that climate change is exacerbating extreme weather events (particularly high temperatures)</w:t>
      </w:r>
      <w:r>
        <w:rPr>
          <w:rFonts w:ascii="Times New Roman" w:eastAsia="Calibri" w:hAnsi="Times New Roman" w:cs="Times New Roman"/>
        </w:rPr>
        <w:t xml:space="preserve"> today and in the </w:t>
      </w:r>
      <w:proofErr w:type="gramStart"/>
      <w:r>
        <w:rPr>
          <w:rFonts w:ascii="Times New Roman" w:eastAsia="Calibri" w:hAnsi="Times New Roman" w:cs="Times New Roman"/>
        </w:rPr>
        <w:t>future;</w:t>
      </w:r>
      <w:proofErr w:type="gramEnd"/>
    </w:p>
    <w:p w14:paraId="3692F681" w14:textId="77777777" w:rsidR="003F120D" w:rsidRPr="0097349F" w:rsidRDefault="003F120D" w:rsidP="003F120D">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 xml:space="preserve">Does not incorporate the climate projection analysis already available from the Texas State </w:t>
      </w:r>
      <w:proofErr w:type="gramStart"/>
      <w:r>
        <w:rPr>
          <w:rFonts w:ascii="Times New Roman" w:eastAsia="Calibri" w:hAnsi="Times New Roman" w:cs="Times New Roman"/>
        </w:rPr>
        <w:t>Climatologist;</w:t>
      </w:r>
      <w:proofErr w:type="gramEnd"/>
    </w:p>
    <w:p w14:paraId="210F3728" w14:textId="3303C279" w:rsidR="003F120D" w:rsidRDefault="003F120D" w:rsidP="003F120D">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D</w:t>
      </w:r>
      <w:r w:rsidRPr="0097349F">
        <w:rPr>
          <w:rFonts w:ascii="Times New Roman" w:eastAsia="Calibri" w:hAnsi="Times New Roman" w:cs="Times New Roman"/>
        </w:rPr>
        <w:t xml:space="preserve">oes not include transmission lines </w:t>
      </w:r>
      <w:r>
        <w:rPr>
          <w:rFonts w:ascii="Times New Roman" w:eastAsia="Calibri" w:hAnsi="Times New Roman" w:cs="Times New Roman"/>
        </w:rPr>
        <w:t>as</w:t>
      </w:r>
      <w:r w:rsidRPr="0097349F">
        <w:rPr>
          <w:rFonts w:ascii="Times New Roman" w:eastAsia="Calibri" w:hAnsi="Times New Roman" w:cs="Times New Roman"/>
        </w:rPr>
        <w:t xml:space="preserve"> facilities</w:t>
      </w:r>
      <w:r>
        <w:rPr>
          <w:rFonts w:ascii="Times New Roman" w:eastAsia="Calibri" w:hAnsi="Times New Roman" w:cs="Times New Roman"/>
        </w:rPr>
        <w:t xml:space="preserve"> within the scope of the rule</w:t>
      </w:r>
      <w:r>
        <w:rPr>
          <w:rFonts w:ascii="Times New Roman" w:eastAsia="Calibri" w:hAnsi="Times New Roman" w:cs="Times New Roman"/>
        </w:rPr>
        <w:t xml:space="preserve">, and does not recognize the impact of both high temperatures and high loading to reduce the carrying capacity and lifespan </w:t>
      </w:r>
      <w:r w:rsidR="001B4E4A">
        <w:rPr>
          <w:rFonts w:ascii="Times New Roman" w:eastAsia="Calibri" w:hAnsi="Times New Roman" w:cs="Times New Roman"/>
        </w:rPr>
        <w:t xml:space="preserve">decay impacts upon </w:t>
      </w:r>
      <w:r>
        <w:rPr>
          <w:rFonts w:ascii="Times New Roman" w:eastAsia="Calibri" w:hAnsi="Times New Roman" w:cs="Times New Roman"/>
        </w:rPr>
        <w:t xml:space="preserve">all transmission </w:t>
      </w:r>
      <w:proofErr w:type="gramStart"/>
      <w:r>
        <w:rPr>
          <w:rFonts w:ascii="Times New Roman" w:eastAsia="Calibri" w:hAnsi="Times New Roman" w:cs="Times New Roman"/>
        </w:rPr>
        <w:t>assets</w:t>
      </w:r>
      <w:r>
        <w:rPr>
          <w:rFonts w:ascii="Times New Roman" w:eastAsia="Calibri" w:hAnsi="Times New Roman" w:cs="Times New Roman"/>
        </w:rPr>
        <w:t>;</w:t>
      </w:r>
      <w:proofErr w:type="gramEnd"/>
    </w:p>
    <w:p w14:paraId="5FC3CAC0" w14:textId="15764FAE" w:rsidR="003F120D" w:rsidRDefault="003F120D" w:rsidP="003F120D">
      <w:pPr>
        <w:pStyle w:val="ListParagraph"/>
        <w:numPr>
          <w:ilvl w:val="0"/>
          <w:numId w:val="16"/>
        </w:numPr>
        <w:ind w:left="792"/>
        <w:rPr>
          <w:rFonts w:ascii="Times New Roman" w:eastAsia="Calibri" w:hAnsi="Times New Roman" w:cs="Times New Roman"/>
        </w:rPr>
      </w:pPr>
      <w:r>
        <w:rPr>
          <w:rFonts w:ascii="Times New Roman" w:eastAsia="Calibri" w:hAnsi="Times New Roman" w:cs="Times New Roman"/>
        </w:rPr>
        <w:t xml:space="preserve">Neglects to </w:t>
      </w:r>
      <w:r w:rsidR="003E658D">
        <w:rPr>
          <w:rFonts w:ascii="Times New Roman" w:eastAsia="Calibri" w:hAnsi="Times New Roman" w:cs="Times New Roman"/>
        </w:rPr>
        <w:t>address and heighten</w:t>
      </w:r>
      <w:r>
        <w:rPr>
          <w:rFonts w:ascii="Times New Roman" w:eastAsia="Calibri" w:hAnsi="Times New Roman" w:cs="Times New Roman"/>
        </w:rPr>
        <w:t xml:space="preserve"> extreme weather preparedness </w:t>
      </w:r>
      <w:r w:rsidR="003E658D">
        <w:rPr>
          <w:rFonts w:ascii="Times New Roman" w:eastAsia="Calibri" w:hAnsi="Times New Roman" w:cs="Times New Roman"/>
        </w:rPr>
        <w:t xml:space="preserve">requirements </w:t>
      </w:r>
      <w:r>
        <w:rPr>
          <w:rFonts w:ascii="Times New Roman" w:eastAsia="Calibri" w:hAnsi="Times New Roman" w:cs="Times New Roman"/>
        </w:rPr>
        <w:t>for black-start generation and transmission.</w:t>
      </w:r>
    </w:p>
    <w:p w14:paraId="76DB72F1" w14:textId="4D457389" w:rsidR="002240D9" w:rsidRDefault="002240D9" w:rsidP="002240D9">
      <w:pPr>
        <w:rPr>
          <w:rFonts w:ascii="Times New Roman" w:eastAsia="Calibri" w:hAnsi="Times New Roman" w:cs="Times New Roman"/>
        </w:rPr>
      </w:pPr>
    </w:p>
    <w:p w14:paraId="28B6FEBE" w14:textId="77777777" w:rsidR="002240D9" w:rsidRPr="00AE0A27" w:rsidRDefault="002240D9" w:rsidP="002240D9">
      <w:pPr>
        <w:ind w:firstLine="432"/>
        <w:rPr>
          <w:rFonts w:ascii="Times New Roman" w:eastAsia="Calibri" w:hAnsi="Times New Roman" w:cs="Times New Roman"/>
        </w:rPr>
      </w:pPr>
      <w:r>
        <w:rPr>
          <w:rFonts w:ascii="Times New Roman" w:eastAsia="Calibri" w:hAnsi="Times New Roman" w:cs="Times New Roman"/>
        </w:rPr>
        <w:t>If these omissions and errors are not remedied in the weatherization rule, the rule could lead to additional transmission and generation investment costs that will increase electricity prices across Texas without sufficiently improving the reliability and resilience of our grid against the very real extreme weather risks we face.</w:t>
      </w:r>
    </w:p>
    <w:p w14:paraId="0FECBB7A" w14:textId="77777777" w:rsidR="003F120D" w:rsidRDefault="003F120D" w:rsidP="002240D9">
      <w:pPr>
        <w:rPr>
          <w:rFonts w:ascii="Times New Roman" w:eastAsia="Calibri" w:hAnsi="Times New Roman" w:cs="Times New Roman"/>
        </w:rPr>
      </w:pPr>
    </w:p>
    <w:p w14:paraId="63233081" w14:textId="100D5CE6" w:rsidR="003F120D" w:rsidRPr="003F120D" w:rsidRDefault="003F120D">
      <w:pPr>
        <w:ind w:firstLine="432"/>
        <w:rPr>
          <w:rFonts w:ascii="Times New Roman" w:hAnsi="Times New Roman"/>
          <w:color w:val="000000" w:themeColor="text1"/>
        </w:rPr>
      </w:pPr>
      <w:r>
        <w:rPr>
          <w:rFonts w:ascii="Times New Roman" w:eastAsia="Calibri" w:hAnsi="Times New Roman" w:cs="Times New Roman"/>
        </w:rPr>
        <w:t xml:space="preserve">We also encourage the Commission to take note of the concerns and requirements proposed in the Federal Energy Regulatory Commission’s new proposed </w:t>
      </w:r>
      <w:r w:rsidR="00055DA9">
        <w:rPr>
          <w:rFonts w:ascii="Times New Roman" w:eastAsia="Calibri" w:hAnsi="Times New Roman" w:cs="Times New Roman"/>
        </w:rPr>
        <w:t xml:space="preserve">climate change-driven extreme weather </w:t>
      </w:r>
      <w:r>
        <w:rPr>
          <w:rFonts w:ascii="Times New Roman" w:eastAsia="Calibri" w:hAnsi="Times New Roman" w:cs="Times New Roman"/>
        </w:rPr>
        <w:t>rulemakings</w:t>
      </w:r>
      <w:r w:rsidR="00055DA9">
        <w:rPr>
          <w:rFonts w:ascii="Times New Roman" w:eastAsia="Calibri" w:hAnsi="Times New Roman" w:cs="Times New Roman"/>
        </w:rPr>
        <w:t>.</w:t>
      </w:r>
      <w:r>
        <w:rPr>
          <w:rFonts w:ascii="Times New Roman" w:eastAsia="Calibri" w:hAnsi="Times New Roman" w:cs="Times New Roman"/>
        </w:rPr>
        <w:t xml:space="preserve"> </w:t>
      </w:r>
      <w:r>
        <w:rPr>
          <w:rStyle w:val="Hyperlink"/>
          <w:rFonts w:ascii="Times New Roman" w:hAnsi="Times New Roman" w:cs="Times New Roman"/>
          <w:color w:val="000000" w:themeColor="text1"/>
          <w:szCs w:val="26"/>
          <w:u w:val="none"/>
        </w:rPr>
        <w:t xml:space="preserve">These </w:t>
      </w:r>
      <w:r w:rsidR="008B3AA9">
        <w:rPr>
          <w:rStyle w:val="Hyperlink"/>
          <w:rFonts w:ascii="Times New Roman" w:hAnsi="Times New Roman" w:cs="Times New Roman"/>
          <w:color w:val="000000" w:themeColor="text1"/>
          <w:szCs w:val="26"/>
          <w:u w:val="none"/>
        </w:rPr>
        <w:t xml:space="preserve">proposed rules </w:t>
      </w:r>
      <w:r>
        <w:rPr>
          <w:rStyle w:val="Hyperlink"/>
          <w:rFonts w:ascii="Times New Roman" w:hAnsi="Times New Roman" w:cs="Times New Roman"/>
          <w:color w:val="000000" w:themeColor="text1"/>
          <w:szCs w:val="26"/>
          <w:u w:val="none"/>
        </w:rPr>
        <w:t xml:space="preserve">explicitly address the ways in which climate change is increasing the nature and frequency of extreme weather events and the risks that they pose for power system reliability and </w:t>
      </w:r>
      <w:proofErr w:type="gramStart"/>
      <w:r>
        <w:rPr>
          <w:rStyle w:val="Hyperlink"/>
          <w:rFonts w:ascii="Times New Roman" w:hAnsi="Times New Roman" w:cs="Times New Roman"/>
          <w:color w:val="000000" w:themeColor="text1"/>
          <w:szCs w:val="26"/>
          <w:u w:val="none"/>
        </w:rPr>
        <w:t>resilience</w:t>
      </w:r>
      <w:r w:rsidR="008B3AA9">
        <w:rPr>
          <w:rStyle w:val="Hyperlink"/>
          <w:rFonts w:ascii="Times New Roman" w:hAnsi="Times New Roman" w:cs="Times New Roman"/>
          <w:color w:val="000000" w:themeColor="text1"/>
          <w:szCs w:val="26"/>
          <w:u w:val="none"/>
        </w:rPr>
        <w:t>, and</w:t>
      </w:r>
      <w:proofErr w:type="gramEnd"/>
      <w:r w:rsidR="008B3AA9">
        <w:rPr>
          <w:rStyle w:val="Hyperlink"/>
          <w:rFonts w:ascii="Times New Roman" w:hAnsi="Times New Roman" w:cs="Times New Roman"/>
          <w:color w:val="000000" w:themeColor="text1"/>
          <w:szCs w:val="26"/>
          <w:u w:val="none"/>
        </w:rPr>
        <w:t xml:space="preserve"> propose new planning reliability standards and asset vulnerability and risk assessments.  Texas could incorporate </w:t>
      </w:r>
      <w:r w:rsidR="006B372A">
        <w:rPr>
          <w:rStyle w:val="Hyperlink"/>
          <w:rFonts w:ascii="Times New Roman" w:hAnsi="Times New Roman" w:cs="Times New Roman"/>
          <w:color w:val="000000" w:themeColor="text1"/>
          <w:szCs w:val="26"/>
          <w:u w:val="none"/>
        </w:rPr>
        <w:t>many</w:t>
      </w:r>
      <w:r w:rsidR="008B3AA9">
        <w:rPr>
          <w:rStyle w:val="Hyperlink"/>
          <w:rFonts w:ascii="Times New Roman" w:hAnsi="Times New Roman" w:cs="Times New Roman"/>
          <w:color w:val="000000" w:themeColor="text1"/>
          <w:szCs w:val="26"/>
          <w:u w:val="none"/>
        </w:rPr>
        <w:t xml:space="preserve"> of these proactive requirements in the present rule, to better protect all Texans from potential power system failure as our weather becomes more dangerous to our grid, </w:t>
      </w:r>
      <w:proofErr w:type="gramStart"/>
      <w:r w:rsidR="008B3AA9">
        <w:rPr>
          <w:rStyle w:val="Hyperlink"/>
          <w:rFonts w:ascii="Times New Roman" w:hAnsi="Times New Roman" w:cs="Times New Roman"/>
          <w:color w:val="000000" w:themeColor="text1"/>
          <w:szCs w:val="26"/>
          <w:u w:val="none"/>
        </w:rPr>
        <w:t>health</w:t>
      </w:r>
      <w:proofErr w:type="gramEnd"/>
      <w:r w:rsidR="008B3AA9">
        <w:rPr>
          <w:rStyle w:val="Hyperlink"/>
          <w:rFonts w:ascii="Times New Roman" w:hAnsi="Times New Roman" w:cs="Times New Roman"/>
          <w:color w:val="000000" w:themeColor="text1"/>
          <w:szCs w:val="26"/>
          <w:u w:val="none"/>
        </w:rPr>
        <w:t xml:space="preserve"> and budgets.</w:t>
      </w:r>
    </w:p>
    <w:sectPr w:rsidR="003F120D" w:rsidRPr="003F120D" w:rsidSect="007260B7">
      <w:footerReference w:type="even" r:id="rId16"/>
      <w:footerReference w:type="defaul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F3C606" w14:textId="77777777" w:rsidR="00195247" w:rsidRDefault="00195247" w:rsidP="002F47BD">
      <w:r>
        <w:separator/>
      </w:r>
    </w:p>
  </w:endnote>
  <w:endnote w:type="continuationSeparator" w:id="0">
    <w:p w14:paraId="3B6236A0" w14:textId="77777777" w:rsidR="00195247" w:rsidRDefault="00195247" w:rsidP="002F4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94517916"/>
      <w:docPartObj>
        <w:docPartGallery w:val="Page Numbers (Bottom of Page)"/>
        <w:docPartUnique/>
      </w:docPartObj>
    </w:sdtPr>
    <w:sdtContent>
      <w:p w14:paraId="6BB5441B" w14:textId="1417D842" w:rsidR="002F47BD" w:rsidRDefault="002F47BD" w:rsidP="00202EF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B61382F" w14:textId="77777777" w:rsidR="002F47BD" w:rsidRDefault="002F47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06021693"/>
      <w:docPartObj>
        <w:docPartGallery w:val="Page Numbers (Bottom of Page)"/>
        <w:docPartUnique/>
      </w:docPartObj>
    </w:sdtPr>
    <w:sdtContent>
      <w:p w14:paraId="20EE2A32" w14:textId="57B869F8" w:rsidR="002F47BD" w:rsidRDefault="002F47BD" w:rsidP="00202EF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AABEEA0" w14:textId="77777777" w:rsidR="002F47BD" w:rsidRDefault="002F47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DC153" w14:textId="77777777" w:rsidR="00195247" w:rsidRDefault="00195247" w:rsidP="002F47BD">
      <w:r>
        <w:separator/>
      </w:r>
    </w:p>
  </w:footnote>
  <w:footnote w:type="continuationSeparator" w:id="0">
    <w:p w14:paraId="3CF61F98" w14:textId="77777777" w:rsidR="00195247" w:rsidRDefault="00195247" w:rsidP="002F47BD">
      <w:r>
        <w:continuationSeparator/>
      </w:r>
    </w:p>
  </w:footnote>
  <w:footnote w:id="1">
    <w:p w14:paraId="280704B2" w14:textId="1F186199" w:rsidR="00DD3676" w:rsidRPr="00DD3676" w:rsidRDefault="00DD3676" w:rsidP="00DD3676">
      <w:pPr>
        <w:pStyle w:val="NormalWeb"/>
        <w:spacing w:before="0" w:beforeAutospacing="0" w:after="0" w:afterAutospacing="0"/>
      </w:pPr>
      <w:r w:rsidRPr="00DD3676">
        <w:rPr>
          <w:rStyle w:val="FootnoteReference"/>
        </w:rPr>
        <w:footnoteRef/>
      </w:r>
      <w:r w:rsidRPr="00DD3676">
        <w:t xml:space="preserve"> </w:t>
      </w:r>
      <w:r w:rsidRPr="00DD3676">
        <w:rPr>
          <w:color w:val="050707"/>
          <w:sz w:val="18"/>
          <w:szCs w:val="18"/>
        </w:rPr>
        <w:t xml:space="preserve">Nielsen-Gammon, J., S. Holman, </w:t>
      </w:r>
      <w:r w:rsidR="009E057E">
        <w:rPr>
          <w:color w:val="050707"/>
          <w:sz w:val="18"/>
          <w:szCs w:val="18"/>
        </w:rPr>
        <w:t>et al., “</w:t>
      </w:r>
      <w:r w:rsidRPr="00DD3676">
        <w:rPr>
          <w:color w:val="050707"/>
          <w:sz w:val="18"/>
          <w:szCs w:val="18"/>
        </w:rPr>
        <w:t xml:space="preserve"> </w:t>
      </w:r>
      <w:r w:rsidRPr="00DD3676">
        <w:rPr>
          <w:i/>
          <w:iCs/>
          <w:color w:val="050707"/>
          <w:sz w:val="18"/>
          <w:szCs w:val="18"/>
        </w:rPr>
        <w:fldChar w:fldCharType="begin"/>
      </w:r>
      <w:r w:rsidRPr="00DD3676">
        <w:rPr>
          <w:i/>
          <w:iCs/>
          <w:color w:val="050707"/>
          <w:sz w:val="18"/>
          <w:szCs w:val="18"/>
        </w:rPr>
        <w:instrText xml:space="preserve"> HYPERLINK "https://climatexas.tamu.edu/files/ClimateReport-1900to2036-2021Update" </w:instrText>
      </w:r>
      <w:r w:rsidRPr="00DD3676">
        <w:rPr>
          <w:i/>
          <w:iCs/>
          <w:color w:val="050707"/>
          <w:sz w:val="18"/>
          <w:szCs w:val="18"/>
        </w:rPr>
      </w:r>
      <w:r w:rsidRPr="00DD3676">
        <w:rPr>
          <w:i/>
          <w:iCs/>
          <w:color w:val="050707"/>
          <w:sz w:val="18"/>
          <w:szCs w:val="18"/>
        </w:rPr>
        <w:fldChar w:fldCharType="separate"/>
      </w:r>
      <w:r w:rsidRPr="00DD3676">
        <w:rPr>
          <w:rStyle w:val="Hyperlink"/>
          <w:i/>
          <w:iCs/>
          <w:sz w:val="18"/>
          <w:szCs w:val="18"/>
        </w:rPr>
        <w:t>Assessment of Historic and Future Trends of Extreme Weather in Texas, 1900- 2036: 2021 Update</w:t>
      </w:r>
      <w:r w:rsidRPr="00DD3676">
        <w:rPr>
          <w:i/>
          <w:iCs/>
          <w:color w:val="050707"/>
          <w:sz w:val="18"/>
          <w:szCs w:val="18"/>
        </w:rPr>
        <w:fldChar w:fldCharType="end"/>
      </w:r>
      <w:r w:rsidR="009E057E">
        <w:rPr>
          <w:color w:val="050707"/>
          <w:sz w:val="18"/>
          <w:szCs w:val="18"/>
        </w:rPr>
        <w:t xml:space="preserve">”, </w:t>
      </w:r>
      <w:r w:rsidRPr="00DD3676">
        <w:rPr>
          <w:color w:val="050707"/>
          <w:sz w:val="18"/>
          <w:szCs w:val="18"/>
        </w:rPr>
        <w:t>Document OSC-202101, Office of the State Climatologist, Texas A&amp;M University</w:t>
      </w:r>
      <w:r w:rsidR="009E057E">
        <w:rPr>
          <w:color w:val="050707"/>
          <w:sz w:val="18"/>
          <w:szCs w:val="18"/>
        </w:rPr>
        <w:t xml:space="preserve"> </w:t>
      </w:r>
      <w:r w:rsidRPr="00DD3676">
        <w:rPr>
          <w:color w:val="050707"/>
          <w:sz w:val="18"/>
          <w:szCs w:val="18"/>
        </w:rPr>
        <w:t>(October 7, 2021).</w:t>
      </w:r>
    </w:p>
  </w:footnote>
  <w:footnote w:id="2">
    <w:p w14:paraId="4B9E8521" w14:textId="6EF72255" w:rsidR="00DD3676" w:rsidRPr="00DD3676" w:rsidRDefault="00DD3676" w:rsidP="00DD3676">
      <w:pPr>
        <w:pStyle w:val="FootnoteText"/>
        <w:rPr>
          <w:rFonts w:cs="Times New Roman"/>
        </w:rPr>
      </w:pPr>
      <w:r w:rsidRPr="00DD3676">
        <w:rPr>
          <w:rStyle w:val="FootnoteReference"/>
          <w:rFonts w:cs="Times New Roman"/>
        </w:rPr>
        <w:footnoteRef/>
      </w:r>
      <w:r w:rsidRPr="00DD3676">
        <w:rPr>
          <w:rFonts w:cs="Times New Roman"/>
        </w:rPr>
        <w:t xml:space="preserve"> Nielsen-Gammon et al., p.2.</w:t>
      </w:r>
    </w:p>
  </w:footnote>
  <w:footnote w:id="3">
    <w:p w14:paraId="1197A9E4" w14:textId="1B0EC676" w:rsidR="00AA292B" w:rsidRDefault="00AA292B">
      <w:pPr>
        <w:pStyle w:val="FootnoteText"/>
      </w:pPr>
      <w:r>
        <w:rPr>
          <w:rStyle w:val="FootnoteReference"/>
        </w:rPr>
        <w:footnoteRef/>
      </w:r>
      <w:r>
        <w:t xml:space="preserve"> </w:t>
      </w:r>
      <w:r w:rsidRPr="00DD3676">
        <w:rPr>
          <w:rFonts w:cs="Times New Roman"/>
        </w:rPr>
        <w:t>Nielsen-Gammon et al., p.</w:t>
      </w:r>
      <w:r>
        <w:rPr>
          <w:rFonts w:cs="Times New Roman"/>
        </w:rPr>
        <w:t>8</w:t>
      </w:r>
      <w:r w:rsidRPr="00DD3676">
        <w:rPr>
          <w:rFonts w:cs="Times New Roman"/>
        </w:rPr>
        <w:t>.</w:t>
      </w:r>
    </w:p>
  </w:footnote>
  <w:footnote w:id="4">
    <w:p w14:paraId="2D6C67EE" w14:textId="77777777" w:rsidR="00B10C32" w:rsidRDefault="00B10C32" w:rsidP="00B10C32">
      <w:pPr>
        <w:pStyle w:val="FootnoteText"/>
      </w:pPr>
      <w:r>
        <w:rPr>
          <w:rStyle w:val="FootnoteReference"/>
        </w:rPr>
        <w:footnoteRef/>
      </w:r>
      <w:r>
        <w:t xml:space="preserve"> Charles </w:t>
      </w:r>
      <w:proofErr w:type="spellStart"/>
      <w:r>
        <w:t>Fant</w:t>
      </w:r>
      <w:proofErr w:type="spellEnd"/>
      <w:r>
        <w:t xml:space="preserve"> et al., “</w:t>
      </w:r>
      <w:hyperlink r:id="rId1" w:history="1">
        <w:r w:rsidRPr="009633A1">
          <w:rPr>
            <w:rStyle w:val="Hyperlink"/>
          </w:rPr>
          <w:t>Climate change impacts and costs to U.S. electricity transmission and distribution infrastructure</w:t>
        </w:r>
      </w:hyperlink>
      <w:r>
        <w:t xml:space="preserve">,” </w:t>
      </w:r>
      <w:r w:rsidRPr="009633A1">
        <w:rPr>
          <w:u w:val="single"/>
        </w:rPr>
        <w:t>Energy</w:t>
      </w:r>
      <w:r>
        <w:rPr>
          <w:u w:val="single"/>
        </w:rPr>
        <w:t xml:space="preserve"> </w:t>
      </w:r>
      <w:r w:rsidRPr="009633A1">
        <w:rPr>
          <w:u w:val="single"/>
        </w:rPr>
        <w:t>Journal</w:t>
      </w:r>
      <w:r>
        <w:t xml:space="preserve"> (January 2020), and Matthew </w:t>
      </w:r>
      <w:proofErr w:type="spellStart"/>
      <w:r>
        <w:t>Bartos</w:t>
      </w:r>
      <w:proofErr w:type="spellEnd"/>
      <w:r>
        <w:t>, “</w:t>
      </w:r>
      <w:hyperlink r:id="rId2" w:history="1">
        <w:r w:rsidRPr="000503A0">
          <w:rPr>
            <w:rStyle w:val="Hyperlink"/>
          </w:rPr>
          <w:t>Impacts of rising air temperatures on electric ampacity and peak electricity load in the United States</w:t>
        </w:r>
      </w:hyperlink>
      <w:r>
        <w:t xml:space="preserve">,” </w:t>
      </w:r>
      <w:r w:rsidRPr="009633A1">
        <w:rPr>
          <w:u w:val="single"/>
        </w:rPr>
        <w:t>Environmental Research Letters</w:t>
      </w:r>
      <w:r>
        <w:t xml:space="preserve"> (November 2016).</w:t>
      </w:r>
    </w:p>
  </w:footnote>
  <w:footnote w:id="5">
    <w:p w14:paraId="32DBEE1A" w14:textId="77777777" w:rsidR="00B10C32" w:rsidRDefault="00B10C32" w:rsidP="00B10C32">
      <w:pPr>
        <w:pStyle w:val="FootnoteText"/>
      </w:pPr>
      <w:r>
        <w:rPr>
          <w:rStyle w:val="FootnoteReference"/>
        </w:rPr>
        <w:footnoteRef/>
      </w:r>
      <w:r>
        <w:t xml:space="preserve"> </w:t>
      </w:r>
      <w:proofErr w:type="spellStart"/>
      <w:r>
        <w:t>Bartos</w:t>
      </w:r>
      <w:proofErr w:type="spellEnd"/>
      <w:r>
        <w:t>, “</w:t>
      </w:r>
      <w:hyperlink r:id="rId3" w:history="1">
        <w:r w:rsidRPr="000503A0">
          <w:rPr>
            <w:rStyle w:val="Hyperlink"/>
          </w:rPr>
          <w:t>Impacts of rising air temperatures on electric ampacity and peak electricity load in the United States</w:t>
        </w:r>
      </w:hyperlink>
      <w:r>
        <w:t xml:space="preserve">,” </w:t>
      </w:r>
      <w:r w:rsidRPr="009633A1">
        <w:rPr>
          <w:u w:val="single"/>
        </w:rPr>
        <w:t>Environmental Research Letters</w:t>
      </w:r>
      <w:r>
        <w:t xml:space="preserve"> (November 2016).</w:t>
      </w:r>
    </w:p>
  </w:footnote>
  <w:footnote w:id="6">
    <w:p w14:paraId="32772458" w14:textId="7AE05845" w:rsidR="003732A5" w:rsidRDefault="003732A5">
      <w:pPr>
        <w:pStyle w:val="FootnoteText"/>
      </w:pPr>
      <w:r>
        <w:rPr>
          <w:rStyle w:val="FootnoteReference"/>
        </w:rPr>
        <w:footnoteRef/>
      </w:r>
      <w:r>
        <w:t xml:space="preserve"> </w:t>
      </w:r>
      <w:proofErr w:type="spellStart"/>
      <w:r>
        <w:t>ConEdison</w:t>
      </w:r>
      <w:proofErr w:type="spellEnd"/>
      <w:r>
        <w:t>, “</w:t>
      </w:r>
      <w:hyperlink r:id="rId4" w:history="1">
        <w:r w:rsidRPr="003732A5">
          <w:rPr>
            <w:rStyle w:val="Hyperlink"/>
          </w:rPr>
          <w:t>Climate Change Vulnerability Study</w:t>
        </w:r>
      </w:hyperlink>
      <w:r>
        <w:t>,” (December 2019).</w:t>
      </w:r>
    </w:p>
  </w:footnote>
  <w:footnote w:id="7">
    <w:p w14:paraId="3A4A30B7" w14:textId="77777777" w:rsidR="00B10C32" w:rsidRDefault="00B10C32" w:rsidP="00B10C32">
      <w:pPr>
        <w:pStyle w:val="FootnoteText"/>
      </w:pPr>
      <w:r>
        <w:rPr>
          <w:rStyle w:val="FootnoteReference"/>
        </w:rPr>
        <w:footnoteRef/>
      </w:r>
      <w:r>
        <w:t xml:space="preserve"> Charles </w:t>
      </w:r>
      <w:proofErr w:type="spellStart"/>
      <w:r>
        <w:t>Fant</w:t>
      </w:r>
      <w:proofErr w:type="spellEnd"/>
      <w:r>
        <w:t xml:space="preserve"> et al., “</w:t>
      </w:r>
      <w:hyperlink r:id="rId5" w:history="1">
        <w:r w:rsidRPr="009633A1">
          <w:rPr>
            <w:rStyle w:val="Hyperlink"/>
          </w:rPr>
          <w:t>Climate change impacts and costs to U.S. electricity transmission and distribution infrastructure</w:t>
        </w:r>
      </w:hyperlink>
      <w:r>
        <w:t xml:space="preserve">,” </w:t>
      </w:r>
      <w:r w:rsidRPr="009633A1">
        <w:rPr>
          <w:u w:val="single"/>
        </w:rPr>
        <w:t>Energy</w:t>
      </w:r>
      <w:r>
        <w:rPr>
          <w:u w:val="single"/>
        </w:rPr>
        <w:t xml:space="preserve"> </w:t>
      </w:r>
      <w:r w:rsidRPr="009633A1">
        <w:rPr>
          <w:u w:val="single"/>
        </w:rPr>
        <w:t>Journal</w:t>
      </w:r>
      <w:r>
        <w:t xml:space="preserve"> (January 2020).  </w:t>
      </w:r>
    </w:p>
  </w:footnote>
  <w:footnote w:id="8">
    <w:p w14:paraId="4B3BAB14" w14:textId="77777777" w:rsidR="00B10C32" w:rsidRDefault="00B10C32" w:rsidP="00B10C32">
      <w:pPr>
        <w:pStyle w:val="FootnoteText"/>
      </w:pPr>
      <w:r>
        <w:rPr>
          <w:rStyle w:val="FootnoteReference"/>
        </w:rPr>
        <w:footnoteRef/>
      </w:r>
      <w:r>
        <w:t xml:space="preserve"> “</w:t>
      </w:r>
      <w:hyperlink r:id="rId6" w:history="1">
        <w:r w:rsidRPr="006205A2">
          <w:rPr>
            <w:rStyle w:val="Hyperlink"/>
          </w:rPr>
          <w:t>Clinging to Power:  Why Extending Transformer Life is Key</w:t>
        </w:r>
      </w:hyperlink>
      <w:r>
        <w:t xml:space="preserve">,” </w:t>
      </w:r>
      <w:r w:rsidRPr="0099431F">
        <w:rPr>
          <w:u w:val="single"/>
        </w:rPr>
        <w:t>Power</w:t>
      </w:r>
      <w:r>
        <w:t>, (August 1, 2018).</w:t>
      </w:r>
    </w:p>
  </w:footnote>
  <w:footnote w:id="9">
    <w:p w14:paraId="4B1F0CDC" w14:textId="3537585E" w:rsidR="00B10C32" w:rsidRDefault="00B10C32" w:rsidP="00B10C32">
      <w:pPr>
        <w:pStyle w:val="FootnoteText"/>
      </w:pPr>
      <w:r>
        <w:rPr>
          <w:rStyle w:val="FootnoteReference"/>
        </w:rPr>
        <w:footnoteRef/>
      </w:r>
      <w:r>
        <w:t xml:space="preserve"> </w:t>
      </w:r>
      <w:proofErr w:type="spellStart"/>
      <w:r>
        <w:t>Kojiro</w:t>
      </w:r>
      <w:proofErr w:type="spellEnd"/>
      <w:r>
        <w:t xml:space="preserve"> </w:t>
      </w:r>
      <w:proofErr w:type="spellStart"/>
      <w:r>
        <w:t>Shimomugi</w:t>
      </w:r>
      <w:proofErr w:type="spellEnd"/>
      <w:r>
        <w:t xml:space="preserve"> et al</w:t>
      </w:r>
      <w:r w:rsidR="007959C9">
        <w:t>.</w:t>
      </w:r>
      <w:r>
        <w:t>, “</w:t>
      </w:r>
      <w:hyperlink r:id="rId7" w:history="1">
        <w:r w:rsidRPr="008D597E">
          <w:rPr>
            <w:rStyle w:val="Hyperlink"/>
          </w:rPr>
          <w:t>How Transformers Age</w:t>
        </w:r>
      </w:hyperlink>
      <w:r>
        <w:t xml:space="preserve">,” </w:t>
      </w:r>
      <w:r w:rsidRPr="008D597E">
        <w:rPr>
          <w:u w:val="single"/>
        </w:rPr>
        <w:t>T&amp;D World</w:t>
      </w:r>
      <w:r>
        <w:t>, (Feb. 21, 2019)</w:t>
      </w:r>
    </w:p>
  </w:footnote>
  <w:footnote w:id="10">
    <w:p w14:paraId="60F86119" w14:textId="1DE58021" w:rsidR="00CC4E47" w:rsidRDefault="00CC4E47" w:rsidP="0099431F">
      <w:pPr>
        <w:pStyle w:val="NormalWeb"/>
        <w:spacing w:before="0" w:beforeAutospacing="0" w:after="0" w:afterAutospacing="0"/>
      </w:pPr>
      <w:r w:rsidRPr="00CC4E47">
        <w:rPr>
          <w:rStyle w:val="FootnoteReference"/>
          <w:sz w:val="21"/>
        </w:rPr>
        <w:footnoteRef/>
      </w:r>
      <w:r w:rsidRPr="00CC4E47">
        <w:rPr>
          <w:sz w:val="21"/>
        </w:rPr>
        <w:t xml:space="preserve"> </w:t>
      </w:r>
      <w:proofErr w:type="spellStart"/>
      <w:r w:rsidRPr="00CC4E47">
        <w:rPr>
          <w:rFonts w:eastAsia="Calibri"/>
          <w:sz w:val="21"/>
        </w:rPr>
        <w:t>ConEd’s</w:t>
      </w:r>
      <w:proofErr w:type="spellEnd"/>
      <w:r w:rsidRPr="00CC4E47">
        <w:rPr>
          <w:rFonts w:eastAsia="Calibri"/>
          <w:sz w:val="21"/>
        </w:rPr>
        <w:t xml:space="preserve"> study observes, “</w:t>
      </w:r>
      <w:r w:rsidRPr="00CC4E47">
        <w:rPr>
          <w:sz w:val="21"/>
        </w:rPr>
        <w:t xml:space="preserve">Increased average temperatures pose a threat to substation transformers. Within a substation, transformers are the asset most likely to be affected by </w:t>
      </w:r>
      <w:r w:rsidRPr="00CC4E47">
        <w:rPr>
          <w:sz w:val="21"/>
          <w:szCs w:val="21"/>
        </w:rPr>
        <w:t>projected higher temperatures since their ambient temperature design reference temperature is lower (i.e., 86°F) than that of most other assets.</w:t>
      </w:r>
      <w:r w:rsidRPr="00CC4E47">
        <w:rPr>
          <w:position w:val="6"/>
          <w:sz w:val="21"/>
          <w:szCs w:val="21"/>
        </w:rPr>
        <w:t xml:space="preserve"> </w:t>
      </w:r>
      <w:r w:rsidRPr="00CC4E47">
        <w:rPr>
          <w:sz w:val="21"/>
          <w:szCs w:val="21"/>
        </w:rPr>
        <w:t xml:space="preserve">Higher average and maximum ambient temperatures increase the aging rate of the insulation in transformers, resulting in decreased asset life.”  </w:t>
      </w:r>
      <w:r w:rsidRPr="00CC4E47">
        <w:rPr>
          <w:sz w:val="21"/>
          <w:szCs w:val="21"/>
        </w:rPr>
        <w:t>(p.40)</w:t>
      </w:r>
    </w:p>
  </w:footnote>
  <w:footnote w:id="11">
    <w:p w14:paraId="013D31A9" w14:textId="77777777" w:rsidR="00B10C32" w:rsidRDefault="00B10C32" w:rsidP="00B10C32">
      <w:pPr>
        <w:pStyle w:val="FootnoteText"/>
      </w:pPr>
    </w:p>
  </w:footnote>
  <w:footnote w:id="12">
    <w:p w14:paraId="12F5DD41" w14:textId="6DE1842D" w:rsidR="00791C3B" w:rsidRDefault="00791C3B">
      <w:pPr>
        <w:pStyle w:val="FootnoteText"/>
      </w:pPr>
      <w:r>
        <w:rPr>
          <w:rStyle w:val="FootnoteReference"/>
        </w:rPr>
        <w:footnoteRef/>
      </w:r>
      <w:r>
        <w:t xml:space="preserve"> NERC “2021 Long Term Reliability Assessment” (December 2021) at pp.5-6, cited in FERC RM22-16-000 at p7.</w:t>
      </w:r>
    </w:p>
  </w:footnote>
  <w:footnote w:id="13">
    <w:p w14:paraId="7770E7CE" w14:textId="77777777" w:rsidR="00A73635" w:rsidRDefault="00A73635" w:rsidP="00A73635">
      <w:pPr>
        <w:pStyle w:val="FootnoteText"/>
      </w:pPr>
      <w:r>
        <w:rPr>
          <w:rStyle w:val="FootnoteReference"/>
        </w:rPr>
        <w:footnoteRef/>
      </w:r>
      <w:r>
        <w:t xml:space="preserve"> As in 25.55(f)(2)(B) for TSP summer preparation, or 25.55(c)(1)(B) for generator winter preparation.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0623F"/>
    <w:multiLevelType w:val="hybridMultilevel"/>
    <w:tmpl w:val="AE22ED04"/>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1" w15:restartNumberingAfterBreak="0">
    <w:nsid w:val="23C041EE"/>
    <w:multiLevelType w:val="hybridMultilevel"/>
    <w:tmpl w:val="DCC403EA"/>
    <w:lvl w:ilvl="0" w:tplc="04090011">
      <w:start w:val="1"/>
      <w:numFmt w:val="decimal"/>
      <w:lvlText w:val="%1)"/>
      <w:lvlJc w:val="left"/>
      <w:pPr>
        <w:ind w:left="72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3CB53BE"/>
    <w:multiLevelType w:val="hybridMultilevel"/>
    <w:tmpl w:val="68702FC2"/>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 w15:restartNumberingAfterBreak="0">
    <w:nsid w:val="297A6C21"/>
    <w:multiLevelType w:val="multilevel"/>
    <w:tmpl w:val="089A7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DD339A7"/>
    <w:multiLevelType w:val="hybridMultilevel"/>
    <w:tmpl w:val="9D041206"/>
    <w:lvl w:ilvl="0" w:tplc="04090011">
      <w:start w:val="1"/>
      <w:numFmt w:val="decimal"/>
      <w:lvlText w:val="%1)"/>
      <w:lvlJc w:val="left"/>
      <w:pPr>
        <w:ind w:left="72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5" w15:restartNumberingAfterBreak="0">
    <w:nsid w:val="41825E94"/>
    <w:multiLevelType w:val="hybridMultilevel"/>
    <w:tmpl w:val="450AE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AF14344"/>
    <w:multiLevelType w:val="hybridMultilevel"/>
    <w:tmpl w:val="A23A07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4C85519A"/>
    <w:multiLevelType w:val="hybridMultilevel"/>
    <w:tmpl w:val="716A642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3FD559D"/>
    <w:multiLevelType w:val="multilevel"/>
    <w:tmpl w:val="49F80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C865ADB"/>
    <w:multiLevelType w:val="hybridMultilevel"/>
    <w:tmpl w:val="B96CE5DC"/>
    <w:lvl w:ilvl="0" w:tplc="04090001">
      <w:start w:val="1"/>
      <w:numFmt w:val="bullet"/>
      <w:lvlText w:val=""/>
      <w:lvlJc w:val="left"/>
      <w:pPr>
        <w:ind w:left="1507" w:hanging="360"/>
      </w:pPr>
      <w:rPr>
        <w:rFonts w:ascii="Symbol" w:hAnsi="Symbol" w:hint="default"/>
      </w:rPr>
    </w:lvl>
    <w:lvl w:ilvl="1" w:tplc="04090003" w:tentative="1">
      <w:start w:val="1"/>
      <w:numFmt w:val="bullet"/>
      <w:lvlText w:val="o"/>
      <w:lvlJc w:val="left"/>
      <w:pPr>
        <w:ind w:left="2227" w:hanging="360"/>
      </w:pPr>
      <w:rPr>
        <w:rFonts w:ascii="Courier New" w:hAnsi="Courier New" w:cs="Courier New" w:hint="default"/>
      </w:rPr>
    </w:lvl>
    <w:lvl w:ilvl="2" w:tplc="04090005" w:tentative="1">
      <w:start w:val="1"/>
      <w:numFmt w:val="bullet"/>
      <w:lvlText w:val=""/>
      <w:lvlJc w:val="left"/>
      <w:pPr>
        <w:ind w:left="2947" w:hanging="360"/>
      </w:pPr>
      <w:rPr>
        <w:rFonts w:ascii="Wingdings" w:hAnsi="Wingdings" w:hint="default"/>
      </w:rPr>
    </w:lvl>
    <w:lvl w:ilvl="3" w:tplc="04090001" w:tentative="1">
      <w:start w:val="1"/>
      <w:numFmt w:val="bullet"/>
      <w:lvlText w:val=""/>
      <w:lvlJc w:val="left"/>
      <w:pPr>
        <w:ind w:left="3667" w:hanging="360"/>
      </w:pPr>
      <w:rPr>
        <w:rFonts w:ascii="Symbol" w:hAnsi="Symbol" w:hint="default"/>
      </w:rPr>
    </w:lvl>
    <w:lvl w:ilvl="4" w:tplc="04090003" w:tentative="1">
      <w:start w:val="1"/>
      <w:numFmt w:val="bullet"/>
      <w:lvlText w:val="o"/>
      <w:lvlJc w:val="left"/>
      <w:pPr>
        <w:ind w:left="4387" w:hanging="360"/>
      </w:pPr>
      <w:rPr>
        <w:rFonts w:ascii="Courier New" w:hAnsi="Courier New" w:cs="Courier New" w:hint="default"/>
      </w:rPr>
    </w:lvl>
    <w:lvl w:ilvl="5" w:tplc="04090005" w:tentative="1">
      <w:start w:val="1"/>
      <w:numFmt w:val="bullet"/>
      <w:lvlText w:val=""/>
      <w:lvlJc w:val="left"/>
      <w:pPr>
        <w:ind w:left="5107" w:hanging="360"/>
      </w:pPr>
      <w:rPr>
        <w:rFonts w:ascii="Wingdings" w:hAnsi="Wingdings" w:hint="default"/>
      </w:rPr>
    </w:lvl>
    <w:lvl w:ilvl="6" w:tplc="04090001" w:tentative="1">
      <w:start w:val="1"/>
      <w:numFmt w:val="bullet"/>
      <w:lvlText w:val=""/>
      <w:lvlJc w:val="left"/>
      <w:pPr>
        <w:ind w:left="5827" w:hanging="360"/>
      </w:pPr>
      <w:rPr>
        <w:rFonts w:ascii="Symbol" w:hAnsi="Symbol" w:hint="default"/>
      </w:rPr>
    </w:lvl>
    <w:lvl w:ilvl="7" w:tplc="04090003" w:tentative="1">
      <w:start w:val="1"/>
      <w:numFmt w:val="bullet"/>
      <w:lvlText w:val="o"/>
      <w:lvlJc w:val="left"/>
      <w:pPr>
        <w:ind w:left="6547" w:hanging="360"/>
      </w:pPr>
      <w:rPr>
        <w:rFonts w:ascii="Courier New" w:hAnsi="Courier New" w:cs="Courier New" w:hint="default"/>
      </w:rPr>
    </w:lvl>
    <w:lvl w:ilvl="8" w:tplc="04090005" w:tentative="1">
      <w:start w:val="1"/>
      <w:numFmt w:val="bullet"/>
      <w:lvlText w:val=""/>
      <w:lvlJc w:val="left"/>
      <w:pPr>
        <w:ind w:left="7267" w:hanging="360"/>
      </w:pPr>
      <w:rPr>
        <w:rFonts w:ascii="Wingdings" w:hAnsi="Wingdings" w:hint="default"/>
      </w:rPr>
    </w:lvl>
  </w:abstractNum>
  <w:abstractNum w:abstractNumId="10" w15:restartNumberingAfterBreak="0">
    <w:nsid w:val="5D1D613F"/>
    <w:multiLevelType w:val="hybridMultilevel"/>
    <w:tmpl w:val="05166A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6B4F7C67"/>
    <w:multiLevelType w:val="hybridMultilevel"/>
    <w:tmpl w:val="841A6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22F4AAE"/>
    <w:multiLevelType w:val="hybridMultilevel"/>
    <w:tmpl w:val="7C38E9FE"/>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 w15:restartNumberingAfterBreak="0">
    <w:nsid w:val="723F234A"/>
    <w:multiLevelType w:val="hybridMultilevel"/>
    <w:tmpl w:val="A3C43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28A6608"/>
    <w:multiLevelType w:val="hybridMultilevel"/>
    <w:tmpl w:val="053AEF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C8B3EC6"/>
    <w:multiLevelType w:val="hybridMultilevel"/>
    <w:tmpl w:val="CD6A00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604386767">
    <w:abstractNumId w:val="7"/>
  </w:num>
  <w:num w:numId="2" w16cid:durableId="39743967">
    <w:abstractNumId w:val="5"/>
  </w:num>
  <w:num w:numId="3" w16cid:durableId="1424498985">
    <w:abstractNumId w:val="8"/>
  </w:num>
  <w:num w:numId="4" w16cid:durableId="1478842730">
    <w:abstractNumId w:val="12"/>
  </w:num>
  <w:num w:numId="5" w16cid:durableId="616642859">
    <w:abstractNumId w:val="13"/>
  </w:num>
  <w:num w:numId="6" w16cid:durableId="383139769">
    <w:abstractNumId w:val="11"/>
  </w:num>
  <w:num w:numId="7" w16cid:durableId="1501654218">
    <w:abstractNumId w:val="6"/>
  </w:num>
  <w:num w:numId="8" w16cid:durableId="1921985426">
    <w:abstractNumId w:val="2"/>
  </w:num>
  <w:num w:numId="9" w16cid:durableId="1907960095">
    <w:abstractNumId w:val="4"/>
  </w:num>
  <w:num w:numId="10" w16cid:durableId="985933765">
    <w:abstractNumId w:val="14"/>
  </w:num>
  <w:num w:numId="11" w16cid:durableId="1559979253">
    <w:abstractNumId w:val="9"/>
  </w:num>
  <w:num w:numId="12" w16cid:durableId="1749107965">
    <w:abstractNumId w:val="10"/>
  </w:num>
  <w:num w:numId="13" w16cid:durableId="914826633">
    <w:abstractNumId w:val="1"/>
  </w:num>
  <w:num w:numId="14" w16cid:durableId="1923563286">
    <w:abstractNumId w:val="15"/>
  </w:num>
  <w:num w:numId="15" w16cid:durableId="1146168280">
    <w:abstractNumId w:val="3"/>
  </w:num>
  <w:num w:numId="16" w16cid:durableId="12469138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oNotTrackMov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3690"/>
    <w:rsid w:val="0000005E"/>
    <w:rsid w:val="00000E1C"/>
    <w:rsid w:val="0000279E"/>
    <w:rsid w:val="00003306"/>
    <w:rsid w:val="000154BC"/>
    <w:rsid w:val="0002063A"/>
    <w:rsid w:val="000231E4"/>
    <w:rsid w:val="00023957"/>
    <w:rsid w:val="00025D3B"/>
    <w:rsid w:val="00026285"/>
    <w:rsid w:val="0003335A"/>
    <w:rsid w:val="00036094"/>
    <w:rsid w:val="0004062A"/>
    <w:rsid w:val="0004564C"/>
    <w:rsid w:val="000503A0"/>
    <w:rsid w:val="00055DA9"/>
    <w:rsid w:val="000602F0"/>
    <w:rsid w:val="00061C5C"/>
    <w:rsid w:val="00070AF5"/>
    <w:rsid w:val="000841EB"/>
    <w:rsid w:val="00090515"/>
    <w:rsid w:val="000916FD"/>
    <w:rsid w:val="000920C4"/>
    <w:rsid w:val="00094ABD"/>
    <w:rsid w:val="0009547E"/>
    <w:rsid w:val="000A2721"/>
    <w:rsid w:val="000A546D"/>
    <w:rsid w:val="000A74F8"/>
    <w:rsid w:val="000B5A6E"/>
    <w:rsid w:val="000B7AD8"/>
    <w:rsid w:val="000C4B8C"/>
    <w:rsid w:val="000C4CE3"/>
    <w:rsid w:val="000C4DF2"/>
    <w:rsid w:val="000D2D1A"/>
    <w:rsid w:val="000E44F3"/>
    <w:rsid w:val="000E67D1"/>
    <w:rsid w:val="000F3AD8"/>
    <w:rsid w:val="00104E19"/>
    <w:rsid w:val="0011140A"/>
    <w:rsid w:val="00115E86"/>
    <w:rsid w:val="001164A2"/>
    <w:rsid w:val="00123B70"/>
    <w:rsid w:val="00124F1E"/>
    <w:rsid w:val="001343F5"/>
    <w:rsid w:val="00136593"/>
    <w:rsid w:val="00150D64"/>
    <w:rsid w:val="00171C47"/>
    <w:rsid w:val="00171C6B"/>
    <w:rsid w:val="0017372C"/>
    <w:rsid w:val="001747A5"/>
    <w:rsid w:val="0017771F"/>
    <w:rsid w:val="00185A07"/>
    <w:rsid w:val="001860EE"/>
    <w:rsid w:val="001863B6"/>
    <w:rsid w:val="00187767"/>
    <w:rsid w:val="00194778"/>
    <w:rsid w:val="00195247"/>
    <w:rsid w:val="001A7874"/>
    <w:rsid w:val="001B3A7C"/>
    <w:rsid w:val="001B4E4A"/>
    <w:rsid w:val="001C1D9E"/>
    <w:rsid w:val="001C4B8C"/>
    <w:rsid w:val="001C5801"/>
    <w:rsid w:val="001D6803"/>
    <w:rsid w:val="001E1DF9"/>
    <w:rsid w:val="001E3572"/>
    <w:rsid w:val="001F1B75"/>
    <w:rsid w:val="001F5F65"/>
    <w:rsid w:val="00203802"/>
    <w:rsid w:val="0021235B"/>
    <w:rsid w:val="00217938"/>
    <w:rsid w:val="00223718"/>
    <w:rsid w:val="00223798"/>
    <w:rsid w:val="002240D9"/>
    <w:rsid w:val="00224E3D"/>
    <w:rsid w:val="0024085F"/>
    <w:rsid w:val="00245237"/>
    <w:rsid w:val="0024568F"/>
    <w:rsid w:val="00253D2D"/>
    <w:rsid w:val="002606AF"/>
    <w:rsid w:val="00262EC9"/>
    <w:rsid w:val="00267566"/>
    <w:rsid w:val="002924E1"/>
    <w:rsid w:val="002942A2"/>
    <w:rsid w:val="002B180E"/>
    <w:rsid w:val="002B3E10"/>
    <w:rsid w:val="002C036D"/>
    <w:rsid w:val="002C37CB"/>
    <w:rsid w:val="002D32F1"/>
    <w:rsid w:val="002D5C65"/>
    <w:rsid w:val="002E2791"/>
    <w:rsid w:val="002E620C"/>
    <w:rsid w:val="002E6A13"/>
    <w:rsid w:val="002F2957"/>
    <w:rsid w:val="002F47BD"/>
    <w:rsid w:val="002F7EB6"/>
    <w:rsid w:val="00300E35"/>
    <w:rsid w:val="003021DB"/>
    <w:rsid w:val="00302E3F"/>
    <w:rsid w:val="00303EF9"/>
    <w:rsid w:val="0031357D"/>
    <w:rsid w:val="00314E17"/>
    <w:rsid w:val="0032474E"/>
    <w:rsid w:val="00330191"/>
    <w:rsid w:val="003331BA"/>
    <w:rsid w:val="0033436F"/>
    <w:rsid w:val="00342615"/>
    <w:rsid w:val="00344D29"/>
    <w:rsid w:val="003531CB"/>
    <w:rsid w:val="003659B1"/>
    <w:rsid w:val="00366349"/>
    <w:rsid w:val="003666D1"/>
    <w:rsid w:val="003700F7"/>
    <w:rsid w:val="003732A5"/>
    <w:rsid w:val="003768D3"/>
    <w:rsid w:val="003851E8"/>
    <w:rsid w:val="003B0E9A"/>
    <w:rsid w:val="003D1EB8"/>
    <w:rsid w:val="003D2D81"/>
    <w:rsid w:val="003D4F99"/>
    <w:rsid w:val="003E21F9"/>
    <w:rsid w:val="003E2DF8"/>
    <w:rsid w:val="003E658D"/>
    <w:rsid w:val="003E7FFE"/>
    <w:rsid w:val="003F120D"/>
    <w:rsid w:val="004009AF"/>
    <w:rsid w:val="00406AB9"/>
    <w:rsid w:val="0041125F"/>
    <w:rsid w:val="00416A1A"/>
    <w:rsid w:val="00421715"/>
    <w:rsid w:val="00421AE5"/>
    <w:rsid w:val="0042259C"/>
    <w:rsid w:val="0042683C"/>
    <w:rsid w:val="00443117"/>
    <w:rsid w:val="00443DD0"/>
    <w:rsid w:val="004573B1"/>
    <w:rsid w:val="00460301"/>
    <w:rsid w:val="0046128D"/>
    <w:rsid w:val="00464746"/>
    <w:rsid w:val="00465502"/>
    <w:rsid w:val="00467D8C"/>
    <w:rsid w:val="004815E5"/>
    <w:rsid w:val="004819B8"/>
    <w:rsid w:val="00484E2F"/>
    <w:rsid w:val="004947D5"/>
    <w:rsid w:val="00495DBB"/>
    <w:rsid w:val="004973CD"/>
    <w:rsid w:val="004A3573"/>
    <w:rsid w:val="004B0201"/>
    <w:rsid w:val="004B6C9C"/>
    <w:rsid w:val="004C7DD5"/>
    <w:rsid w:val="004D1968"/>
    <w:rsid w:val="004D1A80"/>
    <w:rsid w:val="004D1EE0"/>
    <w:rsid w:val="004D200B"/>
    <w:rsid w:val="004D4C6A"/>
    <w:rsid w:val="004E2590"/>
    <w:rsid w:val="004E7C9D"/>
    <w:rsid w:val="004F0ADE"/>
    <w:rsid w:val="004F1F26"/>
    <w:rsid w:val="004F2F74"/>
    <w:rsid w:val="004F3172"/>
    <w:rsid w:val="004F4959"/>
    <w:rsid w:val="004F631D"/>
    <w:rsid w:val="00502E2E"/>
    <w:rsid w:val="005115C1"/>
    <w:rsid w:val="005329A0"/>
    <w:rsid w:val="00534307"/>
    <w:rsid w:val="0054444C"/>
    <w:rsid w:val="00546072"/>
    <w:rsid w:val="00555641"/>
    <w:rsid w:val="00560037"/>
    <w:rsid w:val="0056212A"/>
    <w:rsid w:val="0056745D"/>
    <w:rsid w:val="0057119C"/>
    <w:rsid w:val="0057231D"/>
    <w:rsid w:val="00580FBB"/>
    <w:rsid w:val="005831F5"/>
    <w:rsid w:val="00583E0D"/>
    <w:rsid w:val="00586AC6"/>
    <w:rsid w:val="00595322"/>
    <w:rsid w:val="005A04D1"/>
    <w:rsid w:val="005A5901"/>
    <w:rsid w:val="005C11D5"/>
    <w:rsid w:val="005C35CA"/>
    <w:rsid w:val="005C5CBB"/>
    <w:rsid w:val="005D4D22"/>
    <w:rsid w:val="005D5067"/>
    <w:rsid w:val="005E0EE2"/>
    <w:rsid w:val="005E6171"/>
    <w:rsid w:val="005F7813"/>
    <w:rsid w:val="006016B3"/>
    <w:rsid w:val="00604666"/>
    <w:rsid w:val="00611440"/>
    <w:rsid w:val="006131C2"/>
    <w:rsid w:val="006141E6"/>
    <w:rsid w:val="00615818"/>
    <w:rsid w:val="006205A2"/>
    <w:rsid w:val="006222F3"/>
    <w:rsid w:val="006243EC"/>
    <w:rsid w:val="00625105"/>
    <w:rsid w:val="00625B40"/>
    <w:rsid w:val="00627C8B"/>
    <w:rsid w:val="00641B32"/>
    <w:rsid w:val="006448EF"/>
    <w:rsid w:val="006449D8"/>
    <w:rsid w:val="00655EC2"/>
    <w:rsid w:val="00661ED0"/>
    <w:rsid w:val="00667932"/>
    <w:rsid w:val="006725FC"/>
    <w:rsid w:val="00677B88"/>
    <w:rsid w:val="00680838"/>
    <w:rsid w:val="00682BD0"/>
    <w:rsid w:val="006A01EE"/>
    <w:rsid w:val="006A4EB4"/>
    <w:rsid w:val="006B2C0B"/>
    <w:rsid w:val="006B372A"/>
    <w:rsid w:val="006B63BA"/>
    <w:rsid w:val="006B7B5B"/>
    <w:rsid w:val="006C060F"/>
    <w:rsid w:val="006C147F"/>
    <w:rsid w:val="006D4EA6"/>
    <w:rsid w:val="006E0BE4"/>
    <w:rsid w:val="006E635D"/>
    <w:rsid w:val="006F741E"/>
    <w:rsid w:val="00700A63"/>
    <w:rsid w:val="0070710F"/>
    <w:rsid w:val="00712F56"/>
    <w:rsid w:val="00715687"/>
    <w:rsid w:val="00715D80"/>
    <w:rsid w:val="00722B9F"/>
    <w:rsid w:val="0072454D"/>
    <w:rsid w:val="007260B7"/>
    <w:rsid w:val="00727FD6"/>
    <w:rsid w:val="00737A55"/>
    <w:rsid w:val="00742347"/>
    <w:rsid w:val="007550B2"/>
    <w:rsid w:val="0075700B"/>
    <w:rsid w:val="00761215"/>
    <w:rsid w:val="00761B54"/>
    <w:rsid w:val="0077489D"/>
    <w:rsid w:val="007756B6"/>
    <w:rsid w:val="00785119"/>
    <w:rsid w:val="00785B0A"/>
    <w:rsid w:val="00791C3B"/>
    <w:rsid w:val="007959C9"/>
    <w:rsid w:val="007A1E44"/>
    <w:rsid w:val="007A5B32"/>
    <w:rsid w:val="007A6689"/>
    <w:rsid w:val="007A6814"/>
    <w:rsid w:val="007B2DA0"/>
    <w:rsid w:val="007D227E"/>
    <w:rsid w:val="007E6CCD"/>
    <w:rsid w:val="00802CF4"/>
    <w:rsid w:val="0080319B"/>
    <w:rsid w:val="00816BE6"/>
    <w:rsid w:val="00822138"/>
    <w:rsid w:val="008236B8"/>
    <w:rsid w:val="00824C34"/>
    <w:rsid w:val="00835A5D"/>
    <w:rsid w:val="00837249"/>
    <w:rsid w:val="00853416"/>
    <w:rsid w:val="00854C3B"/>
    <w:rsid w:val="00861F33"/>
    <w:rsid w:val="00875125"/>
    <w:rsid w:val="00891BE7"/>
    <w:rsid w:val="008B0412"/>
    <w:rsid w:val="008B3AA9"/>
    <w:rsid w:val="008B5BBC"/>
    <w:rsid w:val="008C4139"/>
    <w:rsid w:val="008C7243"/>
    <w:rsid w:val="008D0821"/>
    <w:rsid w:val="008D41B5"/>
    <w:rsid w:val="008D597E"/>
    <w:rsid w:val="008E3321"/>
    <w:rsid w:val="008E6CD4"/>
    <w:rsid w:val="008F1332"/>
    <w:rsid w:val="008F6AF3"/>
    <w:rsid w:val="00900FD7"/>
    <w:rsid w:val="00902539"/>
    <w:rsid w:val="0090420A"/>
    <w:rsid w:val="00904529"/>
    <w:rsid w:val="009046F1"/>
    <w:rsid w:val="009059F5"/>
    <w:rsid w:val="00907AA1"/>
    <w:rsid w:val="00907FE6"/>
    <w:rsid w:val="0091493B"/>
    <w:rsid w:val="009217E3"/>
    <w:rsid w:val="00932C0D"/>
    <w:rsid w:val="00933095"/>
    <w:rsid w:val="009344A2"/>
    <w:rsid w:val="00934B04"/>
    <w:rsid w:val="00935064"/>
    <w:rsid w:val="00935E1A"/>
    <w:rsid w:val="00935F0F"/>
    <w:rsid w:val="00936B23"/>
    <w:rsid w:val="00936D9B"/>
    <w:rsid w:val="0094422C"/>
    <w:rsid w:val="00950B79"/>
    <w:rsid w:val="009536DF"/>
    <w:rsid w:val="00956EDC"/>
    <w:rsid w:val="0096094C"/>
    <w:rsid w:val="00962B9E"/>
    <w:rsid w:val="009633A1"/>
    <w:rsid w:val="0096451D"/>
    <w:rsid w:val="00970A6E"/>
    <w:rsid w:val="0097349F"/>
    <w:rsid w:val="00991A12"/>
    <w:rsid w:val="0099431F"/>
    <w:rsid w:val="009950FF"/>
    <w:rsid w:val="00995D78"/>
    <w:rsid w:val="009A3E29"/>
    <w:rsid w:val="009A5940"/>
    <w:rsid w:val="009B296B"/>
    <w:rsid w:val="009C15E8"/>
    <w:rsid w:val="009C460C"/>
    <w:rsid w:val="009D2E93"/>
    <w:rsid w:val="009D4167"/>
    <w:rsid w:val="009D44FD"/>
    <w:rsid w:val="009E057E"/>
    <w:rsid w:val="009F3BB9"/>
    <w:rsid w:val="009F41CF"/>
    <w:rsid w:val="009F46F1"/>
    <w:rsid w:val="00A03BEC"/>
    <w:rsid w:val="00A07F7D"/>
    <w:rsid w:val="00A10D23"/>
    <w:rsid w:val="00A27BE7"/>
    <w:rsid w:val="00A3045D"/>
    <w:rsid w:val="00A33D55"/>
    <w:rsid w:val="00A33F42"/>
    <w:rsid w:val="00A619BD"/>
    <w:rsid w:val="00A63E25"/>
    <w:rsid w:val="00A64887"/>
    <w:rsid w:val="00A6653C"/>
    <w:rsid w:val="00A73635"/>
    <w:rsid w:val="00AA292B"/>
    <w:rsid w:val="00AB1971"/>
    <w:rsid w:val="00AB203B"/>
    <w:rsid w:val="00AB6CAE"/>
    <w:rsid w:val="00AB78D9"/>
    <w:rsid w:val="00AC1779"/>
    <w:rsid w:val="00AD1AED"/>
    <w:rsid w:val="00AD1F24"/>
    <w:rsid w:val="00AE0A27"/>
    <w:rsid w:val="00AE5AB8"/>
    <w:rsid w:val="00AF2905"/>
    <w:rsid w:val="00AF5A8B"/>
    <w:rsid w:val="00B10C32"/>
    <w:rsid w:val="00B126F2"/>
    <w:rsid w:val="00B1547D"/>
    <w:rsid w:val="00B23D34"/>
    <w:rsid w:val="00B377D3"/>
    <w:rsid w:val="00B42157"/>
    <w:rsid w:val="00B42962"/>
    <w:rsid w:val="00B466DC"/>
    <w:rsid w:val="00B52E93"/>
    <w:rsid w:val="00B54B01"/>
    <w:rsid w:val="00B54CD1"/>
    <w:rsid w:val="00B73773"/>
    <w:rsid w:val="00B73973"/>
    <w:rsid w:val="00B762AD"/>
    <w:rsid w:val="00B76DE2"/>
    <w:rsid w:val="00B833A9"/>
    <w:rsid w:val="00B901C7"/>
    <w:rsid w:val="00B919F3"/>
    <w:rsid w:val="00B91FC3"/>
    <w:rsid w:val="00B9328D"/>
    <w:rsid w:val="00B9564E"/>
    <w:rsid w:val="00BB0469"/>
    <w:rsid w:val="00BB38A2"/>
    <w:rsid w:val="00BC0589"/>
    <w:rsid w:val="00BC2127"/>
    <w:rsid w:val="00BD6F07"/>
    <w:rsid w:val="00BF2624"/>
    <w:rsid w:val="00BF3C94"/>
    <w:rsid w:val="00BF4414"/>
    <w:rsid w:val="00C01466"/>
    <w:rsid w:val="00C066E7"/>
    <w:rsid w:val="00C11BCF"/>
    <w:rsid w:val="00C17933"/>
    <w:rsid w:val="00C23C9E"/>
    <w:rsid w:val="00C240EB"/>
    <w:rsid w:val="00C2493E"/>
    <w:rsid w:val="00C3727C"/>
    <w:rsid w:val="00C46EDF"/>
    <w:rsid w:val="00C62BE5"/>
    <w:rsid w:val="00C646DF"/>
    <w:rsid w:val="00C72454"/>
    <w:rsid w:val="00C80F1E"/>
    <w:rsid w:val="00C83F94"/>
    <w:rsid w:val="00C85E28"/>
    <w:rsid w:val="00C9459C"/>
    <w:rsid w:val="00CA4AC7"/>
    <w:rsid w:val="00CB7D8D"/>
    <w:rsid w:val="00CC424E"/>
    <w:rsid w:val="00CC4E47"/>
    <w:rsid w:val="00CC7108"/>
    <w:rsid w:val="00CE57C1"/>
    <w:rsid w:val="00CF4A20"/>
    <w:rsid w:val="00CF6EEA"/>
    <w:rsid w:val="00CF755B"/>
    <w:rsid w:val="00CF7852"/>
    <w:rsid w:val="00D07D35"/>
    <w:rsid w:val="00D1344F"/>
    <w:rsid w:val="00D1565C"/>
    <w:rsid w:val="00D253FC"/>
    <w:rsid w:val="00D34120"/>
    <w:rsid w:val="00D3676C"/>
    <w:rsid w:val="00D4239E"/>
    <w:rsid w:val="00D4268D"/>
    <w:rsid w:val="00D43EFB"/>
    <w:rsid w:val="00D51EB5"/>
    <w:rsid w:val="00D57573"/>
    <w:rsid w:val="00D662BE"/>
    <w:rsid w:val="00D664E4"/>
    <w:rsid w:val="00D81539"/>
    <w:rsid w:val="00D817A7"/>
    <w:rsid w:val="00D8293B"/>
    <w:rsid w:val="00D86672"/>
    <w:rsid w:val="00D87F59"/>
    <w:rsid w:val="00DB0F06"/>
    <w:rsid w:val="00DC4448"/>
    <w:rsid w:val="00DC4717"/>
    <w:rsid w:val="00DC7555"/>
    <w:rsid w:val="00DD30EF"/>
    <w:rsid w:val="00DD3676"/>
    <w:rsid w:val="00DE10E9"/>
    <w:rsid w:val="00DE31E4"/>
    <w:rsid w:val="00DE5529"/>
    <w:rsid w:val="00E10882"/>
    <w:rsid w:val="00E15F2B"/>
    <w:rsid w:val="00E17E6E"/>
    <w:rsid w:val="00E20C4A"/>
    <w:rsid w:val="00E339C3"/>
    <w:rsid w:val="00E40F46"/>
    <w:rsid w:val="00E4449F"/>
    <w:rsid w:val="00E502AB"/>
    <w:rsid w:val="00E6553C"/>
    <w:rsid w:val="00E73F62"/>
    <w:rsid w:val="00E74487"/>
    <w:rsid w:val="00E7502F"/>
    <w:rsid w:val="00E80A3E"/>
    <w:rsid w:val="00E84B77"/>
    <w:rsid w:val="00E874B2"/>
    <w:rsid w:val="00E87945"/>
    <w:rsid w:val="00EA3AA9"/>
    <w:rsid w:val="00EB6714"/>
    <w:rsid w:val="00EC3690"/>
    <w:rsid w:val="00EC5579"/>
    <w:rsid w:val="00ED680E"/>
    <w:rsid w:val="00ED7671"/>
    <w:rsid w:val="00EE3BC2"/>
    <w:rsid w:val="00EF0501"/>
    <w:rsid w:val="00EF27D9"/>
    <w:rsid w:val="00EF5481"/>
    <w:rsid w:val="00EF7F0B"/>
    <w:rsid w:val="00F0579B"/>
    <w:rsid w:val="00F11057"/>
    <w:rsid w:val="00F11345"/>
    <w:rsid w:val="00F119BB"/>
    <w:rsid w:val="00F132DB"/>
    <w:rsid w:val="00F169F5"/>
    <w:rsid w:val="00F26CAA"/>
    <w:rsid w:val="00F43D19"/>
    <w:rsid w:val="00F47811"/>
    <w:rsid w:val="00F52A46"/>
    <w:rsid w:val="00F558C9"/>
    <w:rsid w:val="00F567A4"/>
    <w:rsid w:val="00F56951"/>
    <w:rsid w:val="00F602AD"/>
    <w:rsid w:val="00F634C2"/>
    <w:rsid w:val="00F710F0"/>
    <w:rsid w:val="00F83396"/>
    <w:rsid w:val="00F94C47"/>
    <w:rsid w:val="00F95683"/>
    <w:rsid w:val="00FA4B58"/>
    <w:rsid w:val="00FB13D8"/>
    <w:rsid w:val="00FB2BC3"/>
    <w:rsid w:val="00FB69E4"/>
    <w:rsid w:val="00FB7AFD"/>
    <w:rsid w:val="00FC43CE"/>
    <w:rsid w:val="00FF12B5"/>
    <w:rsid w:val="00FF2E1F"/>
    <w:rsid w:val="00FF30C8"/>
    <w:rsid w:val="00FF3E64"/>
    <w:rsid w:val="00FF3FD2"/>
    <w:rsid w:val="00FF46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761D2A"/>
  <w15:chartTrackingRefBased/>
  <w15:docId w15:val="{CCD8E6AE-D4FC-8242-B681-A24CAE8A9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2240D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2F47BD"/>
    <w:pPr>
      <w:tabs>
        <w:tab w:val="center" w:pos="4680"/>
        <w:tab w:val="right" w:pos="9360"/>
      </w:tabs>
    </w:pPr>
  </w:style>
  <w:style w:type="character" w:customStyle="1" w:styleId="FooterChar">
    <w:name w:val="Footer Char"/>
    <w:basedOn w:val="DefaultParagraphFont"/>
    <w:link w:val="Footer"/>
    <w:uiPriority w:val="99"/>
    <w:rsid w:val="002F47BD"/>
  </w:style>
  <w:style w:type="character" w:styleId="PageNumber">
    <w:name w:val="page number"/>
    <w:basedOn w:val="DefaultParagraphFont"/>
    <w:uiPriority w:val="99"/>
    <w:semiHidden/>
    <w:unhideWhenUsed/>
    <w:rsid w:val="002F47BD"/>
  </w:style>
  <w:style w:type="character" w:styleId="Hyperlink">
    <w:name w:val="Hyperlink"/>
    <w:basedOn w:val="DefaultParagraphFont"/>
    <w:uiPriority w:val="99"/>
    <w:unhideWhenUsed/>
    <w:rsid w:val="0041125F"/>
    <w:rPr>
      <w:color w:val="0563C1" w:themeColor="hyperlink"/>
      <w:u w:val="single"/>
    </w:rPr>
  </w:style>
  <w:style w:type="character" w:styleId="UnresolvedMention">
    <w:name w:val="Unresolved Mention"/>
    <w:basedOn w:val="DefaultParagraphFont"/>
    <w:uiPriority w:val="99"/>
    <w:rsid w:val="0041125F"/>
    <w:rPr>
      <w:color w:val="605E5C"/>
      <w:shd w:val="clear" w:color="auto" w:fill="E1DFDD"/>
    </w:rPr>
  </w:style>
  <w:style w:type="paragraph" w:styleId="ListParagraph">
    <w:name w:val="List Paragraph"/>
    <w:basedOn w:val="Normal"/>
    <w:uiPriority w:val="34"/>
    <w:qFormat/>
    <w:rsid w:val="0041125F"/>
    <w:pPr>
      <w:ind w:left="720"/>
      <w:contextualSpacing/>
    </w:pPr>
  </w:style>
  <w:style w:type="table" w:styleId="TableGrid">
    <w:name w:val="Table Grid"/>
    <w:basedOn w:val="TableNormal"/>
    <w:uiPriority w:val="39"/>
    <w:rsid w:val="00502E2E"/>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D43EFB"/>
    <w:rPr>
      <w:rFonts w:ascii="Times New Roman" w:hAnsi="Times New Roman"/>
      <w:sz w:val="20"/>
      <w:szCs w:val="20"/>
    </w:rPr>
  </w:style>
  <w:style w:type="character" w:customStyle="1" w:styleId="FootnoteTextChar">
    <w:name w:val="Footnote Text Char"/>
    <w:basedOn w:val="DefaultParagraphFont"/>
    <w:link w:val="FootnoteText"/>
    <w:uiPriority w:val="99"/>
    <w:rsid w:val="00D43EFB"/>
    <w:rPr>
      <w:rFonts w:ascii="Times New Roman" w:hAnsi="Times New Roman"/>
      <w:sz w:val="20"/>
      <w:szCs w:val="20"/>
    </w:rPr>
  </w:style>
  <w:style w:type="character" w:styleId="FootnoteReference">
    <w:name w:val="footnote reference"/>
    <w:basedOn w:val="DefaultParagraphFont"/>
    <w:uiPriority w:val="99"/>
    <w:semiHidden/>
    <w:unhideWhenUsed/>
    <w:rsid w:val="005A5901"/>
    <w:rPr>
      <w:vertAlign w:val="superscript"/>
    </w:rPr>
  </w:style>
  <w:style w:type="paragraph" w:styleId="NormalWeb">
    <w:name w:val="Normal (Web)"/>
    <w:basedOn w:val="Normal"/>
    <w:uiPriority w:val="99"/>
    <w:unhideWhenUsed/>
    <w:rsid w:val="00D664E4"/>
    <w:pPr>
      <w:spacing w:before="100" w:beforeAutospacing="1" w:after="100" w:afterAutospacing="1"/>
    </w:pPr>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F94C47"/>
    <w:rPr>
      <w:color w:val="954F72" w:themeColor="followedHyperlink"/>
      <w:u w:val="single"/>
    </w:rPr>
  </w:style>
  <w:style w:type="character" w:styleId="CommentReference">
    <w:name w:val="annotation reference"/>
    <w:basedOn w:val="DefaultParagraphFont"/>
    <w:uiPriority w:val="99"/>
    <w:semiHidden/>
    <w:unhideWhenUsed/>
    <w:rsid w:val="00061C5C"/>
    <w:rPr>
      <w:sz w:val="16"/>
      <w:szCs w:val="16"/>
    </w:rPr>
  </w:style>
  <w:style w:type="paragraph" w:styleId="CommentText">
    <w:name w:val="annotation text"/>
    <w:basedOn w:val="Normal"/>
    <w:link w:val="CommentTextChar"/>
    <w:uiPriority w:val="99"/>
    <w:semiHidden/>
    <w:unhideWhenUsed/>
    <w:rsid w:val="00061C5C"/>
    <w:rPr>
      <w:sz w:val="20"/>
      <w:szCs w:val="20"/>
    </w:rPr>
  </w:style>
  <w:style w:type="character" w:customStyle="1" w:styleId="CommentTextChar">
    <w:name w:val="Comment Text Char"/>
    <w:basedOn w:val="DefaultParagraphFont"/>
    <w:link w:val="CommentText"/>
    <w:uiPriority w:val="99"/>
    <w:semiHidden/>
    <w:rsid w:val="00061C5C"/>
    <w:rPr>
      <w:sz w:val="20"/>
      <w:szCs w:val="20"/>
    </w:rPr>
  </w:style>
  <w:style w:type="paragraph" w:styleId="CommentSubject">
    <w:name w:val="annotation subject"/>
    <w:basedOn w:val="CommentText"/>
    <w:next w:val="CommentText"/>
    <w:link w:val="CommentSubjectChar"/>
    <w:uiPriority w:val="99"/>
    <w:semiHidden/>
    <w:unhideWhenUsed/>
    <w:rsid w:val="00061C5C"/>
    <w:rPr>
      <w:b/>
      <w:bCs/>
    </w:rPr>
  </w:style>
  <w:style w:type="character" w:customStyle="1" w:styleId="CommentSubjectChar">
    <w:name w:val="Comment Subject Char"/>
    <w:basedOn w:val="CommentTextChar"/>
    <w:link w:val="CommentSubject"/>
    <w:uiPriority w:val="99"/>
    <w:semiHidden/>
    <w:rsid w:val="00061C5C"/>
    <w:rPr>
      <w:b/>
      <w:bCs/>
      <w:sz w:val="20"/>
      <w:szCs w:val="20"/>
    </w:rPr>
  </w:style>
  <w:style w:type="paragraph" w:styleId="Revision">
    <w:name w:val="Revision"/>
    <w:hidden/>
    <w:uiPriority w:val="99"/>
    <w:semiHidden/>
    <w:rsid w:val="00443D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1934967">
      <w:bodyDiv w:val="1"/>
      <w:marLeft w:val="0"/>
      <w:marRight w:val="0"/>
      <w:marTop w:val="0"/>
      <w:marBottom w:val="0"/>
      <w:divBdr>
        <w:top w:val="none" w:sz="0" w:space="0" w:color="auto"/>
        <w:left w:val="none" w:sz="0" w:space="0" w:color="auto"/>
        <w:bottom w:val="none" w:sz="0" w:space="0" w:color="auto"/>
        <w:right w:val="none" w:sz="0" w:space="0" w:color="auto"/>
      </w:divBdr>
      <w:divsChild>
        <w:div w:id="481655654">
          <w:marLeft w:val="0"/>
          <w:marRight w:val="0"/>
          <w:marTop w:val="0"/>
          <w:marBottom w:val="0"/>
          <w:divBdr>
            <w:top w:val="none" w:sz="0" w:space="0" w:color="auto"/>
            <w:left w:val="none" w:sz="0" w:space="0" w:color="auto"/>
            <w:bottom w:val="none" w:sz="0" w:space="0" w:color="auto"/>
            <w:right w:val="none" w:sz="0" w:space="0" w:color="auto"/>
          </w:divBdr>
          <w:divsChild>
            <w:div w:id="1572889664">
              <w:marLeft w:val="0"/>
              <w:marRight w:val="0"/>
              <w:marTop w:val="0"/>
              <w:marBottom w:val="0"/>
              <w:divBdr>
                <w:top w:val="none" w:sz="0" w:space="0" w:color="auto"/>
                <w:left w:val="none" w:sz="0" w:space="0" w:color="auto"/>
                <w:bottom w:val="none" w:sz="0" w:space="0" w:color="auto"/>
                <w:right w:val="none" w:sz="0" w:space="0" w:color="auto"/>
              </w:divBdr>
              <w:divsChild>
                <w:div w:id="1982494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682430">
      <w:bodyDiv w:val="1"/>
      <w:marLeft w:val="0"/>
      <w:marRight w:val="0"/>
      <w:marTop w:val="0"/>
      <w:marBottom w:val="0"/>
      <w:divBdr>
        <w:top w:val="none" w:sz="0" w:space="0" w:color="auto"/>
        <w:left w:val="none" w:sz="0" w:space="0" w:color="auto"/>
        <w:bottom w:val="none" w:sz="0" w:space="0" w:color="auto"/>
        <w:right w:val="none" w:sz="0" w:space="0" w:color="auto"/>
      </w:divBdr>
      <w:divsChild>
        <w:div w:id="103771341">
          <w:marLeft w:val="0"/>
          <w:marRight w:val="0"/>
          <w:marTop w:val="0"/>
          <w:marBottom w:val="0"/>
          <w:divBdr>
            <w:top w:val="none" w:sz="0" w:space="0" w:color="auto"/>
            <w:left w:val="none" w:sz="0" w:space="0" w:color="auto"/>
            <w:bottom w:val="none" w:sz="0" w:space="0" w:color="auto"/>
            <w:right w:val="none" w:sz="0" w:space="0" w:color="auto"/>
          </w:divBdr>
          <w:divsChild>
            <w:div w:id="1136530700">
              <w:marLeft w:val="0"/>
              <w:marRight w:val="0"/>
              <w:marTop w:val="0"/>
              <w:marBottom w:val="0"/>
              <w:divBdr>
                <w:top w:val="none" w:sz="0" w:space="0" w:color="auto"/>
                <w:left w:val="none" w:sz="0" w:space="0" w:color="auto"/>
                <w:bottom w:val="none" w:sz="0" w:space="0" w:color="auto"/>
                <w:right w:val="none" w:sz="0" w:space="0" w:color="auto"/>
              </w:divBdr>
              <w:divsChild>
                <w:div w:id="57516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136469">
      <w:bodyDiv w:val="1"/>
      <w:marLeft w:val="0"/>
      <w:marRight w:val="0"/>
      <w:marTop w:val="0"/>
      <w:marBottom w:val="0"/>
      <w:divBdr>
        <w:top w:val="none" w:sz="0" w:space="0" w:color="auto"/>
        <w:left w:val="none" w:sz="0" w:space="0" w:color="auto"/>
        <w:bottom w:val="none" w:sz="0" w:space="0" w:color="auto"/>
        <w:right w:val="none" w:sz="0" w:space="0" w:color="auto"/>
      </w:divBdr>
      <w:divsChild>
        <w:div w:id="475687494">
          <w:marLeft w:val="0"/>
          <w:marRight w:val="0"/>
          <w:marTop w:val="0"/>
          <w:marBottom w:val="0"/>
          <w:divBdr>
            <w:top w:val="none" w:sz="0" w:space="0" w:color="auto"/>
            <w:left w:val="none" w:sz="0" w:space="0" w:color="auto"/>
            <w:bottom w:val="none" w:sz="0" w:space="0" w:color="auto"/>
            <w:right w:val="none" w:sz="0" w:space="0" w:color="auto"/>
          </w:divBdr>
          <w:divsChild>
            <w:div w:id="94374580">
              <w:marLeft w:val="0"/>
              <w:marRight w:val="0"/>
              <w:marTop w:val="0"/>
              <w:marBottom w:val="0"/>
              <w:divBdr>
                <w:top w:val="none" w:sz="0" w:space="0" w:color="auto"/>
                <w:left w:val="none" w:sz="0" w:space="0" w:color="auto"/>
                <w:bottom w:val="none" w:sz="0" w:space="0" w:color="auto"/>
                <w:right w:val="none" w:sz="0" w:space="0" w:color="auto"/>
              </w:divBdr>
              <w:divsChild>
                <w:div w:id="150890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4447004">
      <w:bodyDiv w:val="1"/>
      <w:marLeft w:val="0"/>
      <w:marRight w:val="0"/>
      <w:marTop w:val="0"/>
      <w:marBottom w:val="0"/>
      <w:divBdr>
        <w:top w:val="none" w:sz="0" w:space="0" w:color="auto"/>
        <w:left w:val="none" w:sz="0" w:space="0" w:color="auto"/>
        <w:bottom w:val="none" w:sz="0" w:space="0" w:color="auto"/>
        <w:right w:val="none" w:sz="0" w:space="0" w:color="auto"/>
      </w:divBdr>
    </w:div>
    <w:div w:id="1168398983">
      <w:bodyDiv w:val="1"/>
      <w:marLeft w:val="0"/>
      <w:marRight w:val="0"/>
      <w:marTop w:val="0"/>
      <w:marBottom w:val="0"/>
      <w:divBdr>
        <w:top w:val="none" w:sz="0" w:space="0" w:color="auto"/>
        <w:left w:val="none" w:sz="0" w:space="0" w:color="auto"/>
        <w:bottom w:val="none" w:sz="0" w:space="0" w:color="auto"/>
        <w:right w:val="none" w:sz="0" w:space="0" w:color="auto"/>
      </w:divBdr>
      <w:divsChild>
        <w:div w:id="2108455419">
          <w:marLeft w:val="0"/>
          <w:marRight w:val="0"/>
          <w:marTop w:val="0"/>
          <w:marBottom w:val="0"/>
          <w:divBdr>
            <w:top w:val="none" w:sz="0" w:space="0" w:color="auto"/>
            <w:left w:val="none" w:sz="0" w:space="0" w:color="auto"/>
            <w:bottom w:val="none" w:sz="0" w:space="0" w:color="auto"/>
            <w:right w:val="none" w:sz="0" w:space="0" w:color="auto"/>
          </w:divBdr>
          <w:divsChild>
            <w:div w:id="744499887">
              <w:marLeft w:val="0"/>
              <w:marRight w:val="0"/>
              <w:marTop w:val="0"/>
              <w:marBottom w:val="0"/>
              <w:divBdr>
                <w:top w:val="none" w:sz="0" w:space="0" w:color="auto"/>
                <w:left w:val="none" w:sz="0" w:space="0" w:color="auto"/>
                <w:bottom w:val="none" w:sz="0" w:space="0" w:color="auto"/>
                <w:right w:val="none" w:sz="0" w:space="0" w:color="auto"/>
              </w:divBdr>
              <w:divsChild>
                <w:div w:id="682899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304856">
      <w:bodyDiv w:val="1"/>
      <w:marLeft w:val="0"/>
      <w:marRight w:val="0"/>
      <w:marTop w:val="0"/>
      <w:marBottom w:val="0"/>
      <w:divBdr>
        <w:top w:val="none" w:sz="0" w:space="0" w:color="auto"/>
        <w:left w:val="none" w:sz="0" w:space="0" w:color="auto"/>
        <w:bottom w:val="none" w:sz="0" w:space="0" w:color="auto"/>
        <w:right w:val="none" w:sz="0" w:space="0" w:color="auto"/>
      </w:divBdr>
      <w:divsChild>
        <w:div w:id="473987289">
          <w:marLeft w:val="0"/>
          <w:marRight w:val="0"/>
          <w:marTop w:val="0"/>
          <w:marBottom w:val="0"/>
          <w:divBdr>
            <w:top w:val="none" w:sz="0" w:space="0" w:color="auto"/>
            <w:left w:val="none" w:sz="0" w:space="0" w:color="auto"/>
            <w:bottom w:val="none" w:sz="0" w:space="0" w:color="auto"/>
            <w:right w:val="none" w:sz="0" w:space="0" w:color="auto"/>
          </w:divBdr>
          <w:divsChild>
            <w:div w:id="716273790">
              <w:marLeft w:val="0"/>
              <w:marRight w:val="0"/>
              <w:marTop w:val="0"/>
              <w:marBottom w:val="0"/>
              <w:divBdr>
                <w:top w:val="none" w:sz="0" w:space="0" w:color="auto"/>
                <w:left w:val="none" w:sz="0" w:space="0" w:color="auto"/>
                <w:bottom w:val="none" w:sz="0" w:space="0" w:color="auto"/>
                <w:right w:val="none" w:sz="0" w:space="0" w:color="auto"/>
              </w:divBdr>
              <w:divsChild>
                <w:div w:id="2032369017">
                  <w:marLeft w:val="0"/>
                  <w:marRight w:val="0"/>
                  <w:marTop w:val="0"/>
                  <w:marBottom w:val="0"/>
                  <w:divBdr>
                    <w:top w:val="none" w:sz="0" w:space="0" w:color="auto"/>
                    <w:left w:val="none" w:sz="0" w:space="0" w:color="auto"/>
                    <w:bottom w:val="none" w:sz="0" w:space="0" w:color="auto"/>
                    <w:right w:val="none" w:sz="0" w:space="0" w:color="auto"/>
                  </w:divBdr>
                  <w:divsChild>
                    <w:div w:id="195868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6138617">
      <w:bodyDiv w:val="1"/>
      <w:marLeft w:val="0"/>
      <w:marRight w:val="0"/>
      <w:marTop w:val="0"/>
      <w:marBottom w:val="0"/>
      <w:divBdr>
        <w:top w:val="none" w:sz="0" w:space="0" w:color="auto"/>
        <w:left w:val="none" w:sz="0" w:space="0" w:color="auto"/>
        <w:bottom w:val="none" w:sz="0" w:space="0" w:color="auto"/>
        <w:right w:val="none" w:sz="0" w:space="0" w:color="auto"/>
      </w:divBdr>
      <w:divsChild>
        <w:div w:id="459304316">
          <w:marLeft w:val="0"/>
          <w:marRight w:val="0"/>
          <w:marTop w:val="0"/>
          <w:marBottom w:val="0"/>
          <w:divBdr>
            <w:top w:val="none" w:sz="0" w:space="0" w:color="auto"/>
            <w:left w:val="none" w:sz="0" w:space="0" w:color="auto"/>
            <w:bottom w:val="none" w:sz="0" w:space="0" w:color="auto"/>
            <w:right w:val="none" w:sz="0" w:space="0" w:color="auto"/>
          </w:divBdr>
          <w:divsChild>
            <w:div w:id="2094815406">
              <w:marLeft w:val="0"/>
              <w:marRight w:val="0"/>
              <w:marTop w:val="0"/>
              <w:marBottom w:val="0"/>
              <w:divBdr>
                <w:top w:val="none" w:sz="0" w:space="0" w:color="auto"/>
                <w:left w:val="none" w:sz="0" w:space="0" w:color="auto"/>
                <w:bottom w:val="none" w:sz="0" w:space="0" w:color="auto"/>
                <w:right w:val="none" w:sz="0" w:space="0" w:color="auto"/>
              </w:divBdr>
              <w:divsChild>
                <w:div w:id="1350913873">
                  <w:marLeft w:val="0"/>
                  <w:marRight w:val="0"/>
                  <w:marTop w:val="0"/>
                  <w:marBottom w:val="0"/>
                  <w:divBdr>
                    <w:top w:val="none" w:sz="0" w:space="0" w:color="auto"/>
                    <w:left w:val="none" w:sz="0" w:space="0" w:color="auto"/>
                    <w:bottom w:val="none" w:sz="0" w:space="0" w:color="auto"/>
                    <w:right w:val="none" w:sz="0" w:space="0" w:color="auto"/>
                  </w:divBdr>
                  <w:divsChild>
                    <w:div w:id="884753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weather.gov/ewx/climategraphs" TargetMode="External"/><Relationship Id="rId12" Type="http://schemas.openxmlformats.org/officeDocument/2006/relationships/hyperlink" Target="https://elibrary.ferc.gov/eLibrary/filelist?accession_number=20220616-3083&amp;optimized=false"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library.ferc.gov/eLibrary/filelist?accession_number=20220616-3084&amp;optimized=false" TargetMode="External"/><Relationship Id="rId5" Type="http://schemas.openxmlformats.org/officeDocument/2006/relationships/footnotes" Target="footnotes.xml"/><Relationship Id="rId15" Type="http://schemas.openxmlformats.org/officeDocument/2006/relationships/image" Target="media/image6.tiff"/><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s>
</file>

<file path=word/_rels/footnotes.xml.rels><?xml version="1.0" encoding="UTF-8" standalone="yes"?>
<Relationships xmlns="http://schemas.openxmlformats.org/package/2006/relationships"><Relationship Id="rId3" Type="http://schemas.openxmlformats.org/officeDocument/2006/relationships/hyperlink" Target="https://iopscience.iop.org/article/10.1088/1748-9326/11/11/114008" TargetMode="External"/><Relationship Id="rId7" Type="http://schemas.openxmlformats.org/officeDocument/2006/relationships/hyperlink" Target="https://www.tdworld.com/substations/article/20972255/how-transformers-age" TargetMode="External"/><Relationship Id="rId2" Type="http://schemas.openxmlformats.org/officeDocument/2006/relationships/hyperlink" Target="https://iopscience.iop.org/article/10.1088/1748-9326/11/11/114008" TargetMode="External"/><Relationship Id="rId1" Type="http://schemas.openxmlformats.org/officeDocument/2006/relationships/hyperlink" Target="https://www.sciencedirect.com/science/article/pii/S0360544220300062?via%3Dihub" TargetMode="External"/><Relationship Id="rId6" Type="http://schemas.openxmlformats.org/officeDocument/2006/relationships/hyperlink" Target="https://www.powermag.com/clinging-to-power-why-extending-transformer-life-is-key/" TargetMode="External"/><Relationship Id="rId5" Type="http://schemas.openxmlformats.org/officeDocument/2006/relationships/hyperlink" Target="https://www.sciencedirect.com/science/article/pii/S0360544220300062?via%3Dihub" TargetMode="External"/><Relationship Id="rId4" Type="http://schemas.openxmlformats.org/officeDocument/2006/relationships/hyperlink" Target="https://www.coned.com/-/media/files/coned/documents/our-energy-future/our-energy-projects/climate-change-resiliency-plan/climate-change-vulnerability-study.pdf?la=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11</Pages>
  <Words>2531</Words>
  <Characters>14432</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Silverstein</dc:creator>
  <cp:keywords/>
  <dc:description/>
  <cp:lastModifiedBy>Alison Silverstein</cp:lastModifiedBy>
  <cp:revision>13</cp:revision>
  <dcterms:created xsi:type="dcterms:W3CDTF">2022-06-23T19:52:00Z</dcterms:created>
  <dcterms:modified xsi:type="dcterms:W3CDTF">2022-06-23T20:26:00Z</dcterms:modified>
</cp:coreProperties>
</file>